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A369D" w14:textId="77777777" w:rsidR="002C5D72" w:rsidRDefault="00000000">
      <w:pPr>
        <w:jc w:val="both"/>
        <w:rPr>
          <w:b/>
          <w:bCs/>
          <w:i/>
          <w:iCs/>
          <w:lang w:val="en-US"/>
        </w:rPr>
      </w:pPr>
      <w:r>
        <w:rPr>
          <w:b/>
          <w:bCs/>
          <w:lang w:val="en-US"/>
        </w:rPr>
        <w:t xml:space="preserve">ANTIBACTERIAL AND ANTIBIOFILM ACTIVITIES OF AQUEOUS FRACTION FROM THE STEM-BARK METHANOL EXTRACT OF </w:t>
      </w:r>
      <w:r>
        <w:rPr>
          <w:b/>
          <w:bCs/>
          <w:i/>
          <w:iCs/>
          <w:lang w:val="en-US"/>
        </w:rPr>
        <w:t>PARKIA BIGLOBOSA</w:t>
      </w:r>
      <w:r>
        <w:rPr>
          <w:b/>
          <w:bCs/>
          <w:lang w:val="en-US"/>
        </w:rPr>
        <w:t xml:space="preserve"> AGAINST PATHOGENS ISOLATED FROM CHRONIC WOUNDS IN KADUNA, NIGERIA. </w:t>
      </w:r>
    </w:p>
    <w:p w14:paraId="7EDDE9E4" w14:textId="77777777" w:rsidR="002C5D72" w:rsidRDefault="00000000">
      <w:pPr>
        <w:spacing w:after="0" w:line="360" w:lineRule="auto"/>
        <w:jc w:val="both"/>
      </w:pPr>
      <w:r>
        <w:t>Akanni, I. O</w:t>
      </w:r>
      <w:r>
        <w:rPr>
          <w:vertAlign w:val="superscript"/>
        </w:rPr>
        <w:t>1</w:t>
      </w:r>
      <w:r>
        <w:t>., Danmalam, H.U</w:t>
      </w:r>
      <w:r>
        <w:rPr>
          <w:vertAlign w:val="superscript"/>
        </w:rPr>
        <w:t>2</w:t>
      </w:r>
      <w:r>
        <w:t>., Onaolapo, J. A</w:t>
      </w:r>
      <w:r>
        <w:rPr>
          <w:vertAlign w:val="superscript"/>
        </w:rPr>
        <w:t>3</w:t>
      </w:r>
      <w:r>
        <w:t>., Bolaji, R.O</w:t>
      </w:r>
      <w:r>
        <w:rPr>
          <w:vertAlign w:val="superscript"/>
        </w:rPr>
        <w:t>2</w:t>
      </w:r>
      <w:r>
        <w:t>. &amp; Udobi, C.E</w:t>
      </w:r>
      <w:r>
        <w:rPr>
          <w:vertAlign w:val="superscript"/>
        </w:rPr>
        <w:t>4</w:t>
      </w:r>
      <w:r>
        <w:t xml:space="preserve">. </w:t>
      </w:r>
    </w:p>
    <w:p w14:paraId="2262CD43" w14:textId="77777777" w:rsidR="002C5D72" w:rsidRDefault="00000000">
      <w:pPr>
        <w:pStyle w:val="ListParagraph"/>
        <w:numPr>
          <w:ilvl w:val="0"/>
          <w:numId w:val="1"/>
        </w:numPr>
        <w:spacing w:after="0" w:line="240" w:lineRule="auto"/>
        <w:ind w:left="697" w:hanging="357"/>
        <w:jc w:val="both"/>
      </w:pPr>
      <w:r>
        <w:t>Department of Pharmaceutical Microbiology &amp; Biotechnology, Faculty of Pharmaceutical Sciences, Veritas University, Abuja</w:t>
      </w:r>
    </w:p>
    <w:p w14:paraId="43693983" w14:textId="77777777" w:rsidR="002C5D72" w:rsidRDefault="00000000">
      <w:pPr>
        <w:pStyle w:val="ListParagraph"/>
        <w:numPr>
          <w:ilvl w:val="0"/>
          <w:numId w:val="1"/>
        </w:numPr>
        <w:spacing w:after="0" w:line="240" w:lineRule="auto"/>
        <w:ind w:left="697" w:hanging="357"/>
        <w:jc w:val="both"/>
      </w:pPr>
      <w:r>
        <w:t xml:space="preserve">Department of Pharmacognosy &amp; Drug Development, </w:t>
      </w:r>
      <w:r>
        <w:rPr>
          <w:lang w:val="en-US"/>
        </w:rPr>
        <w:t xml:space="preserve">Faculty </w:t>
      </w:r>
      <w:r>
        <w:t>of Pharmaceutical Sciences, Ahmadu Bello University, Zaria</w:t>
      </w:r>
    </w:p>
    <w:p w14:paraId="36D03CF1" w14:textId="77777777" w:rsidR="002C5D72" w:rsidRDefault="00000000">
      <w:pPr>
        <w:pStyle w:val="ListParagraph"/>
        <w:numPr>
          <w:ilvl w:val="0"/>
          <w:numId w:val="1"/>
        </w:numPr>
        <w:spacing w:after="0" w:line="240" w:lineRule="auto"/>
        <w:ind w:left="697" w:hanging="357"/>
        <w:jc w:val="both"/>
      </w:pPr>
      <w:r>
        <w:t>Department of Pharmaceutical Microbiology &amp; Biotechnology, Faculty of Pharmaceutical Sciences, Kaduna State University, Kaduna</w:t>
      </w:r>
    </w:p>
    <w:p w14:paraId="6DBEC808" w14:textId="77777777" w:rsidR="002C5D72" w:rsidRDefault="00000000">
      <w:pPr>
        <w:pStyle w:val="ListParagraph"/>
        <w:numPr>
          <w:ilvl w:val="0"/>
          <w:numId w:val="1"/>
        </w:numPr>
        <w:spacing w:after="0" w:line="240" w:lineRule="auto"/>
        <w:ind w:left="697" w:hanging="357"/>
        <w:jc w:val="both"/>
      </w:pPr>
      <w:r>
        <w:t>Department of Pharmaceutical Microbiology &amp; Biotechnology, Faculty of Pharmac</w:t>
      </w:r>
      <w:r>
        <w:rPr>
          <w:lang w:val="en-US"/>
        </w:rPr>
        <w:t>y</w:t>
      </w:r>
      <w:r>
        <w:t>, University of Uyo</w:t>
      </w:r>
      <w:r>
        <w:rPr>
          <w:lang w:val="en-US"/>
        </w:rPr>
        <w:t>, Uyo, Nigeria.</w:t>
      </w:r>
    </w:p>
    <w:p w14:paraId="4B0CDCFB" w14:textId="77777777" w:rsidR="002C5D72" w:rsidRDefault="002C5D72">
      <w:pPr>
        <w:spacing w:after="0" w:line="360" w:lineRule="auto"/>
        <w:jc w:val="both"/>
      </w:pPr>
    </w:p>
    <w:p w14:paraId="47866F9C" w14:textId="77777777" w:rsidR="002C5D72" w:rsidRDefault="00000000">
      <w:pPr>
        <w:spacing w:after="0" w:line="360" w:lineRule="auto"/>
        <w:jc w:val="both"/>
      </w:pPr>
      <w:r>
        <w:t>Abstract</w:t>
      </w:r>
    </w:p>
    <w:p w14:paraId="0B749921" w14:textId="77777777" w:rsidR="002C5D72" w:rsidRDefault="00000000">
      <w:pPr>
        <w:spacing w:after="0" w:line="360" w:lineRule="auto"/>
        <w:jc w:val="both"/>
      </w:pPr>
      <w:r>
        <w:t xml:space="preserve">Biofilm is a 3D structured community of microorganisms usually enclosed in an extracellular polysaccharide matrix and act as a microbial battlefront. They are often polymicrobial and when the associated microorganisms are pathogenic, biofilms become a significant virulence factor and contribute to wound chronicity. The antibiofilm effect of aqueous fraction from stem-bark methanol extract of </w:t>
      </w:r>
      <w:r>
        <w:rPr>
          <w:i/>
          <w:iCs/>
        </w:rPr>
        <w:t>Parkia biglobosa</w:t>
      </w:r>
      <w:r>
        <w:t xml:space="preserve"> (Jacq.) R.Br.ex G.Don, also known as the African Locust Bean tree, was determined against biofilm-producing bacteria isolated from chronic wounds of patients in Kaduna, Nigeria.  One hundred and sixty-eight bacterial isolates were obtained from chronic wounds samples of patients in four selected health facilities between December 2020 to November 2021. The isolates were identified using standard microbiological methods. Biofilm formation was determined and biofilm inhibitory and antibiofilm activities of the aqueous fraction from the stem-bark methanol extract of </w:t>
      </w:r>
      <w:r>
        <w:rPr>
          <w:i/>
          <w:iCs/>
        </w:rPr>
        <w:t>Parkia biglobosa</w:t>
      </w:r>
      <w:r>
        <w:t xml:space="preserve"> were investigated using microtitre plate method as described by Stepanovic </w:t>
      </w:r>
      <w:r>
        <w:rPr>
          <w:i/>
          <w:iCs/>
        </w:rPr>
        <w:t xml:space="preserve"> et al., </w:t>
      </w:r>
      <w:r>
        <w:t xml:space="preserve">2007, Tang </w:t>
      </w:r>
      <w:r>
        <w:rPr>
          <w:i/>
          <w:iCs/>
        </w:rPr>
        <w:t xml:space="preserve"> et al., </w:t>
      </w:r>
      <w:r>
        <w:t xml:space="preserve">2011. 115 (68.5%) isolates were multidrug-resistant (MDR) to the antibiotics tested while 60 (52.2%) of the MDR isolates were biofilm-formers. </w:t>
      </w:r>
      <w:r>
        <w:rPr>
          <w:szCs w:val="28"/>
        </w:rPr>
        <w:t xml:space="preserve">The fraction was found to possess strong biofilm-inhibiting activity of 76.4%±6.3 against </w:t>
      </w:r>
      <w:r>
        <w:rPr>
          <w:i/>
          <w:iCs/>
          <w:szCs w:val="28"/>
        </w:rPr>
        <w:t>Staphylococcus</w:t>
      </w:r>
      <w:r>
        <w:rPr>
          <w:szCs w:val="28"/>
        </w:rPr>
        <w:t xml:space="preserve"> spp. at half minimum inhibitory concentration (sub-MIC) and 96.8%±0.2 against </w:t>
      </w:r>
      <w:r>
        <w:rPr>
          <w:i/>
          <w:iCs/>
          <w:szCs w:val="28"/>
        </w:rPr>
        <w:t>Proteus</w:t>
      </w:r>
      <w:r>
        <w:rPr>
          <w:szCs w:val="28"/>
        </w:rPr>
        <w:t xml:space="preserve"> spp. at half minimum bactericidal concentration (sub-MBC) and antibiofilm activity against pre-formed biofilms ranged from 74.2%</w:t>
      </w:r>
      <w:r>
        <w:rPr>
          <w:szCs w:val="24"/>
        </w:rPr>
        <w:t>±10.7</w:t>
      </w:r>
      <w:r>
        <w:rPr>
          <w:szCs w:val="28"/>
        </w:rPr>
        <w:t xml:space="preserve"> against </w:t>
      </w:r>
      <w:r>
        <w:rPr>
          <w:i/>
          <w:iCs/>
          <w:szCs w:val="28"/>
        </w:rPr>
        <w:t>Staphylococcus</w:t>
      </w:r>
      <w:r>
        <w:rPr>
          <w:szCs w:val="28"/>
        </w:rPr>
        <w:t xml:space="preserve"> species, 80.0%</w:t>
      </w:r>
      <w:r>
        <w:rPr>
          <w:szCs w:val="24"/>
        </w:rPr>
        <w:t>±4.4</w:t>
      </w:r>
      <w:r>
        <w:rPr>
          <w:szCs w:val="28"/>
        </w:rPr>
        <w:t xml:space="preserve"> against </w:t>
      </w:r>
      <w:r>
        <w:rPr>
          <w:i/>
          <w:iCs/>
          <w:szCs w:val="28"/>
        </w:rPr>
        <w:t>Proteus</w:t>
      </w:r>
      <w:r>
        <w:rPr>
          <w:szCs w:val="28"/>
        </w:rPr>
        <w:t xml:space="preserve"> spp. at sub-MIC and 96.7%</w:t>
      </w:r>
      <w:r>
        <w:rPr>
          <w:szCs w:val="24"/>
        </w:rPr>
        <w:t>±0.1</w:t>
      </w:r>
      <w:r>
        <w:rPr>
          <w:szCs w:val="28"/>
        </w:rPr>
        <w:t xml:space="preserve"> against </w:t>
      </w:r>
      <w:r>
        <w:rPr>
          <w:i/>
          <w:iCs/>
          <w:szCs w:val="28"/>
        </w:rPr>
        <w:t xml:space="preserve">Pseudomonas </w:t>
      </w:r>
      <w:r>
        <w:rPr>
          <w:szCs w:val="28"/>
        </w:rPr>
        <w:t xml:space="preserve"> spp. at sub-MBC. Aqueous fraction from </w:t>
      </w:r>
      <w:r>
        <w:t>stem-bark</w:t>
      </w:r>
      <w:r>
        <w:rPr>
          <w:szCs w:val="28"/>
        </w:rPr>
        <w:t xml:space="preserve"> </w:t>
      </w:r>
      <w:r>
        <w:t>methanol extract</w:t>
      </w:r>
      <w:r>
        <w:rPr>
          <w:szCs w:val="28"/>
        </w:rPr>
        <w:t xml:space="preserve"> of </w:t>
      </w:r>
      <w:r>
        <w:rPr>
          <w:i/>
          <w:iCs/>
        </w:rPr>
        <w:t xml:space="preserve">Parkia </w:t>
      </w:r>
      <w:r>
        <w:rPr>
          <w:i/>
          <w:iCs/>
        </w:rPr>
        <w:lastRenderedPageBreak/>
        <w:t>biglobosa</w:t>
      </w:r>
      <w:r>
        <w:t xml:space="preserve"> possesses potent biofilm inhibitory and antibiofilm activities thereby providing a potential alternative treatment for bacterial infections.</w:t>
      </w:r>
    </w:p>
    <w:p w14:paraId="13233838" w14:textId="77777777" w:rsidR="002C5D72" w:rsidRDefault="002C5D72">
      <w:pPr>
        <w:spacing w:after="0" w:line="360" w:lineRule="auto"/>
        <w:jc w:val="both"/>
      </w:pPr>
    </w:p>
    <w:p w14:paraId="49307CC8" w14:textId="77777777" w:rsidR="002C5D72" w:rsidRDefault="00000000">
      <w:pPr>
        <w:spacing w:line="480" w:lineRule="auto"/>
        <w:jc w:val="both"/>
        <w:rPr>
          <w:b/>
          <w:bCs/>
          <w:szCs w:val="28"/>
        </w:rPr>
      </w:pPr>
      <w:r>
        <w:rPr>
          <w:b/>
          <w:bCs/>
        </w:rPr>
        <w:t>Keywords: Biofilm, polymicrobial, chronic wounds, aqueous fraction, stem-bark</w:t>
      </w:r>
      <w:r>
        <w:rPr>
          <w:szCs w:val="24"/>
        </w:rPr>
        <w:t xml:space="preserve"> </w:t>
      </w:r>
    </w:p>
    <w:p w14:paraId="642FE696" w14:textId="77777777" w:rsidR="002C5D72" w:rsidRDefault="002C5D72">
      <w:pPr>
        <w:spacing w:after="0" w:line="480" w:lineRule="auto"/>
        <w:jc w:val="both"/>
      </w:pPr>
    </w:p>
    <w:p w14:paraId="1CADF1D8" w14:textId="77777777" w:rsidR="002C5D72" w:rsidRDefault="00000000">
      <w:pPr>
        <w:spacing w:after="0" w:line="480" w:lineRule="auto"/>
        <w:jc w:val="both"/>
      </w:pPr>
      <w:r>
        <w:t>INTRODUCTION</w:t>
      </w:r>
    </w:p>
    <w:p w14:paraId="5823ADC7" w14:textId="77777777" w:rsidR="002C5D72" w:rsidRDefault="00000000">
      <w:pPr>
        <w:spacing w:after="0" w:line="480" w:lineRule="auto"/>
        <w:jc w:val="both"/>
      </w:pPr>
      <w:r>
        <w:t xml:space="preserve">Chronic wounds are hard-to-heal wounds which are often colonized by a host of microorganisms including bacteria, fungi, viruses and protozoa which co-exist in communities enclosed by extracellular matrix known as biofilms (Wu </w:t>
      </w:r>
      <w:r>
        <w:rPr>
          <w:i/>
          <w:iCs/>
        </w:rPr>
        <w:t xml:space="preserve">et al., </w:t>
      </w:r>
      <w:r>
        <w:t xml:space="preserve">2018, Durand </w:t>
      </w:r>
      <w:r>
        <w:rPr>
          <w:i/>
          <w:iCs/>
        </w:rPr>
        <w:t xml:space="preserve">et al., </w:t>
      </w:r>
      <w:r>
        <w:t xml:space="preserve">2022). Among all microbial and chronic infections, including chronic wounds, 65% and 85% respectively are associated with biofilm formation (Jamal </w:t>
      </w:r>
      <w:r>
        <w:rPr>
          <w:i/>
          <w:iCs/>
        </w:rPr>
        <w:t xml:space="preserve">et al., </w:t>
      </w:r>
      <w:r>
        <w:t xml:space="preserve">2018). Biofilms are structured communities of bacteria, fungi and other microorganisms that may be found attached to a surface or in aggregates without being adhered to a surface and are usually enclosed in a self-produced extracellular polysaccharide matrix (Percival </w:t>
      </w:r>
      <w:r>
        <w:rPr>
          <w:i/>
          <w:iCs/>
        </w:rPr>
        <w:t xml:space="preserve">et al., </w:t>
      </w:r>
      <w:r>
        <w:t xml:space="preserve">2017). Biofilm is the preferred state of 90% of bacteria (Flemming and Wuertz, 2019) and it serves as a survival mechanism against environmental stress with resulting increase in resistance to antibiotics and disinfectants (Chen </w:t>
      </w:r>
      <w:r>
        <w:rPr>
          <w:i/>
          <w:iCs/>
        </w:rPr>
        <w:t xml:space="preserve">et al., </w:t>
      </w:r>
      <w:r>
        <w:t xml:space="preserve">2018). Polymicrobial nature of biofilms in wounds favours the emergence of antibiotic-resistant strains (Anju </w:t>
      </w:r>
      <w:r>
        <w:rPr>
          <w:i/>
          <w:iCs/>
        </w:rPr>
        <w:t xml:space="preserve">et al., </w:t>
      </w:r>
      <w:r>
        <w:t xml:space="preserve">2022). Resistance to antibiotics has been shown to be 1000 times more in attached than in planktonic cells either resulting from increased mutation rates, upregulation of efflux pumps  or reduced metabolic activity in biofilms (Buch </w:t>
      </w:r>
      <w:r>
        <w:rPr>
          <w:i/>
          <w:iCs/>
        </w:rPr>
        <w:t xml:space="preserve">et al., </w:t>
      </w:r>
      <w:r>
        <w:t xml:space="preserve">2019). Antimicrobial resistance (AMR) can increase complications and associated costs of treatment of chronic wound infections (Littmann </w:t>
      </w:r>
      <w:r>
        <w:rPr>
          <w:i/>
          <w:iCs/>
        </w:rPr>
        <w:t xml:space="preserve">et al., </w:t>
      </w:r>
      <w:r>
        <w:t>2020).</w:t>
      </w:r>
    </w:p>
    <w:p w14:paraId="6BCEA1FA" w14:textId="77777777" w:rsidR="002C5D72" w:rsidRDefault="00000000">
      <w:pPr>
        <w:spacing w:after="0" w:line="480" w:lineRule="auto"/>
        <w:jc w:val="both"/>
      </w:pPr>
      <w:r>
        <w:t xml:space="preserve">The management of chronic wound include the use of both topical and systemic antimicrobial agents among other treatment protocols (Iyun </w:t>
      </w:r>
      <w:r>
        <w:rPr>
          <w:i/>
          <w:iCs/>
        </w:rPr>
        <w:t xml:space="preserve">et al., </w:t>
      </w:r>
      <w:r>
        <w:t xml:space="preserve">2016). This has provided a selective </w:t>
      </w:r>
      <w:r>
        <w:lastRenderedPageBreak/>
        <w:t xml:space="preserve">pressure on antibiotic-resistant strains leading to emergence of antibiotic resistance (Sharma </w:t>
      </w:r>
      <w:r>
        <w:rPr>
          <w:i/>
          <w:iCs/>
        </w:rPr>
        <w:t>et al.,</w:t>
      </w:r>
      <w:r>
        <w:t xml:space="preserve"> 2019). Caputo </w:t>
      </w:r>
      <w:r>
        <w:rPr>
          <w:i/>
          <w:iCs/>
        </w:rPr>
        <w:t xml:space="preserve">et al., </w:t>
      </w:r>
      <w:r>
        <w:t xml:space="preserve">(2022) reported that 50-71% of chronic wound patients are prescribed at least one antibiotic per wound in the course of treatment. Excessive usage of antibiotics has been associated with patients with chronic wound infections particularly in developing countries where antibiotics are readily accessible over-the-counter (Iqbal </w:t>
      </w:r>
      <w:r>
        <w:rPr>
          <w:i/>
          <w:iCs/>
        </w:rPr>
        <w:t xml:space="preserve">et al., </w:t>
      </w:r>
      <w:r>
        <w:t xml:space="preserve">2017, Mohammed </w:t>
      </w:r>
      <w:r>
        <w:rPr>
          <w:i/>
          <w:iCs/>
        </w:rPr>
        <w:t xml:space="preserve">et al., </w:t>
      </w:r>
      <w:r>
        <w:t xml:space="preserve">2017). </w:t>
      </w:r>
    </w:p>
    <w:p w14:paraId="7128E93B" w14:textId="77777777" w:rsidR="002C5D72" w:rsidRDefault="00000000">
      <w:pPr>
        <w:spacing w:after="0" w:line="480" w:lineRule="auto"/>
        <w:jc w:val="both"/>
        <w:rPr>
          <w:szCs w:val="24"/>
        </w:rPr>
      </w:pPr>
      <w:r>
        <w:t xml:space="preserve">Overuse of antibiotics have contributed immensely to AMR while at the same time new antibiotics are not be found unlike in the earlier antibiotic era. Alternative natural therapy is being sought to combat the menace of resistance and this search mainly of plants origin may provide a remedy to AMR in the coming decades. Due to the duration of chronic wounds and failure to heal, patients so affected may resort to various alternative particularly traditional and herbal medicines. </w:t>
      </w:r>
      <w:r>
        <w:rPr>
          <w:szCs w:val="24"/>
        </w:rPr>
        <w:t xml:space="preserve">Plants have been known through the ages of folk medicines as a great source of phytochemicals which have been employed to take care of various ailments, and </w:t>
      </w:r>
      <w:r>
        <w:rPr>
          <w:i/>
          <w:iCs/>
          <w:szCs w:val="24"/>
        </w:rPr>
        <w:t>Parkia biglobosa</w:t>
      </w:r>
      <w:r>
        <w:rPr>
          <w:szCs w:val="24"/>
        </w:rPr>
        <w:t xml:space="preserve"> is one of such plants (Builders, 2014). </w:t>
      </w:r>
      <w:r>
        <w:rPr>
          <w:i/>
          <w:iCs/>
          <w:szCs w:val="24"/>
        </w:rPr>
        <w:t>Parkia biglobosa</w:t>
      </w:r>
      <w:r>
        <w:rPr>
          <w:szCs w:val="24"/>
        </w:rPr>
        <w:t xml:space="preserve"> (Jacq.) R. Br. Ex. G. Don., also known as the African locust bean tree, is a perennial deciduous tree of the sub-family Mimosoideae and family Fabaceae (Amusa </w:t>
      </w:r>
      <w:r>
        <w:rPr>
          <w:i/>
          <w:iCs/>
          <w:szCs w:val="24"/>
        </w:rPr>
        <w:t>et al.</w:t>
      </w:r>
      <w:r>
        <w:rPr>
          <w:szCs w:val="24"/>
        </w:rPr>
        <w:t xml:space="preserve">, 2014). There are 35 known species of the genus Parkia (tribe Parkieae). Commonly recognized species are </w:t>
      </w:r>
      <w:r>
        <w:rPr>
          <w:i/>
          <w:iCs/>
          <w:szCs w:val="24"/>
        </w:rPr>
        <w:t xml:space="preserve">Parkia filicoides, Parkia bicolor, Parkia roxburghii, Parkia biglandulosa </w:t>
      </w:r>
      <w:r>
        <w:rPr>
          <w:szCs w:val="24"/>
        </w:rPr>
        <w:t>and</w:t>
      </w:r>
      <w:r>
        <w:rPr>
          <w:i/>
          <w:iCs/>
          <w:szCs w:val="24"/>
        </w:rPr>
        <w:t xml:space="preserve"> Parkia madagascariesis</w:t>
      </w:r>
      <w:r>
        <w:rPr>
          <w:szCs w:val="24"/>
        </w:rPr>
        <w:t xml:space="preserve">. Only 3 are found in Africa and 2 of these species are in Nigeria namely </w:t>
      </w:r>
      <w:r>
        <w:rPr>
          <w:i/>
          <w:iCs/>
          <w:szCs w:val="24"/>
        </w:rPr>
        <w:t>Parkia biglobosa</w:t>
      </w:r>
      <w:r>
        <w:rPr>
          <w:szCs w:val="24"/>
        </w:rPr>
        <w:t xml:space="preserve"> and </w:t>
      </w:r>
      <w:r>
        <w:rPr>
          <w:i/>
          <w:iCs/>
          <w:szCs w:val="24"/>
        </w:rPr>
        <w:t>Parkia bicolor</w:t>
      </w:r>
      <w:r>
        <w:rPr>
          <w:szCs w:val="24"/>
        </w:rPr>
        <w:t xml:space="preserve"> (</w:t>
      </w:r>
      <w:bookmarkStart w:id="0" w:name="_Hlk172023004"/>
      <w:r>
        <w:rPr>
          <w:szCs w:val="24"/>
        </w:rPr>
        <w:t xml:space="preserve">Adaramola </w:t>
      </w:r>
      <w:r>
        <w:rPr>
          <w:i/>
          <w:iCs/>
          <w:szCs w:val="24"/>
        </w:rPr>
        <w:t>et al</w:t>
      </w:r>
      <w:r>
        <w:rPr>
          <w:szCs w:val="24"/>
        </w:rPr>
        <w:t>., 2013</w:t>
      </w:r>
      <w:bookmarkEnd w:id="0"/>
      <w:r>
        <w:rPr>
          <w:szCs w:val="24"/>
        </w:rPr>
        <w:t xml:space="preserve">). </w:t>
      </w:r>
      <w:r>
        <w:rPr>
          <w:i/>
          <w:iCs/>
          <w:szCs w:val="24"/>
        </w:rPr>
        <w:t>Parkia biglobosa</w:t>
      </w:r>
      <w:r>
        <w:rPr>
          <w:szCs w:val="24"/>
        </w:rPr>
        <w:t xml:space="preserve"> is found widely growing in diverse environmental conditions; from the tropical rain forest to arid zones, lower savannah to lowland forest. It is reported to be originally from South America and it is distributed from the Atlantic Coast in Senegal to southern Sudan, northern Uganda and has its greatest belt in West Africa (Amusa </w:t>
      </w:r>
      <w:r>
        <w:rPr>
          <w:i/>
          <w:iCs/>
          <w:szCs w:val="24"/>
        </w:rPr>
        <w:t xml:space="preserve">et </w:t>
      </w:r>
      <w:r>
        <w:rPr>
          <w:i/>
          <w:iCs/>
          <w:szCs w:val="24"/>
        </w:rPr>
        <w:lastRenderedPageBreak/>
        <w:t>al.</w:t>
      </w:r>
      <w:r>
        <w:rPr>
          <w:szCs w:val="24"/>
        </w:rPr>
        <w:t xml:space="preserve">, 2014). </w:t>
      </w:r>
      <w:r>
        <w:rPr>
          <w:i/>
          <w:iCs/>
          <w:szCs w:val="24"/>
        </w:rPr>
        <w:t>Parkia biglobosa</w:t>
      </w:r>
      <w:r>
        <w:rPr>
          <w:szCs w:val="24"/>
        </w:rPr>
        <w:t xml:space="preserve"> occurs naturally in Africa and may be found as the only tree species in a location. It is most conspicuous in anthropogenic landscapes but occurs in rocky hills, e.g. sandstone hills and stony ridges. It is a tree of savannahs and natural forests. It endures very harsh weather conditions such as drought and it is fire-resistant and nitrogen-fixing. It is able to withstand drought because of its deep tap root and its wide crown provides a suitable environment to grow other plants, such as maize, cassava, yams, sorghum and millet (Builders, 2014).</w:t>
      </w:r>
    </w:p>
    <w:p w14:paraId="49886E8D" w14:textId="77777777" w:rsidR="002C5D72" w:rsidRDefault="00000000">
      <w:pPr>
        <w:spacing w:after="0" w:line="480" w:lineRule="auto"/>
        <w:jc w:val="both"/>
        <w:rPr>
          <w:szCs w:val="24"/>
        </w:rPr>
      </w:pPr>
      <w:r>
        <w:rPr>
          <w:i/>
          <w:iCs/>
          <w:szCs w:val="24"/>
        </w:rPr>
        <w:t>Parkia biglobosa</w:t>
      </w:r>
      <w:r>
        <w:rPr>
          <w:szCs w:val="24"/>
        </w:rPr>
        <w:t xml:space="preserve"> is a valuable plant of immense resources for the locals in sub-Saharan Africa due to its multi-purpose function as a source of food, nutrition, medicine and income (</w:t>
      </w:r>
      <w:bookmarkStart w:id="1" w:name="_Hlk172023410"/>
      <w:r>
        <w:rPr>
          <w:szCs w:val="24"/>
        </w:rPr>
        <w:t xml:space="preserve">Akin-Idowu </w:t>
      </w:r>
      <w:r>
        <w:rPr>
          <w:i/>
          <w:iCs/>
          <w:szCs w:val="24"/>
        </w:rPr>
        <w:t>et al</w:t>
      </w:r>
      <w:r>
        <w:rPr>
          <w:szCs w:val="24"/>
        </w:rPr>
        <w:t>., 2018</w:t>
      </w:r>
      <w:bookmarkEnd w:id="1"/>
      <w:r>
        <w:rPr>
          <w:szCs w:val="24"/>
        </w:rPr>
        <w:t>). The plant is of wide economic importance and it has been used for a range of purposes in West Africa as fodder, food, medicine, manure, fuel, timber. The fruit pulp and seeds are both suitable for human consumption. The pulp which is mealy, serves as a major source of energy and nutrients consisting of carbohydrates, proteins, lipids, carotenoids, vitamins A, B, C and oligo-nutrients (</w:t>
      </w:r>
      <w:bookmarkStart w:id="2" w:name="_Hlk172023426"/>
      <w:r>
        <w:rPr>
          <w:szCs w:val="24"/>
        </w:rPr>
        <w:t xml:space="preserve">Nyadanu </w:t>
      </w:r>
      <w:r>
        <w:rPr>
          <w:i/>
          <w:iCs/>
          <w:szCs w:val="24"/>
        </w:rPr>
        <w:t>et al</w:t>
      </w:r>
      <w:r>
        <w:rPr>
          <w:szCs w:val="24"/>
        </w:rPr>
        <w:t>., 2017</w:t>
      </w:r>
      <w:bookmarkEnd w:id="2"/>
      <w:r>
        <w:rPr>
          <w:szCs w:val="24"/>
        </w:rPr>
        <w:t xml:space="preserve">). It is traditionally consumed by many local Africa populations. The leaves can be boiled, mixed with cereal flour and eaten as vegetable. The young flower buds are also edible and added to salads (Musara </w:t>
      </w:r>
      <w:r>
        <w:rPr>
          <w:i/>
          <w:iCs/>
          <w:szCs w:val="24"/>
        </w:rPr>
        <w:t>et al</w:t>
      </w:r>
      <w:r>
        <w:rPr>
          <w:szCs w:val="24"/>
        </w:rPr>
        <w:t xml:space="preserve">., 2020). The seeds are important sources of plant proteins to rural communities (Akin-Idowu </w:t>
      </w:r>
      <w:r>
        <w:rPr>
          <w:i/>
          <w:iCs/>
          <w:szCs w:val="24"/>
        </w:rPr>
        <w:t>et al</w:t>
      </w:r>
      <w:r>
        <w:rPr>
          <w:szCs w:val="24"/>
        </w:rPr>
        <w:t>., 2018) and are also rich in energy, sugars, Vitamin C and lipids and bioactive compounds such as phenolic compounds which have health-promoting properties (</w:t>
      </w:r>
      <w:bookmarkStart w:id="3" w:name="_Hlk172023493"/>
      <w:r>
        <w:rPr>
          <w:szCs w:val="24"/>
        </w:rPr>
        <w:t xml:space="preserve">Dedehou </w:t>
      </w:r>
      <w:r>
        <w:rPr>
          <w:i/>
          <w:iCs/>
          <w:szCs w:val="24"/>
        </w:rPr>
        <w:t>et al</w:t>
      </w:r>
      <w:r>
        <w:rPr>
          <w:szCs w:val="24"/>
        </w:rPr>
        <w:t>., 2016</w:t>
      </w:r>
      <w:bookmarkEnd w:id="3"/>
      <w:r>
        <w:rPr>
          <w:szCs w:val="24"/>
        </w:rPr>
        <w:t xml:space="preserve">). Parkia seeds are fermented to make a food condiment which is rich in dietary protein and fat-rich flavour; and ingredient of the traditional soups and stews eaten in West Africa and in Nigeria, it is known as dawadawa (Hausa), Iru (Yoruba) and Ogiri (Igbo). It contributes useful amounts of lysine and riboflavin, which are deficient in the diets in this region. </w:t>
      </w:r>
    </w:p>
    <w:p w14:paraId="1205E347" w14:textId="77777777" w:rsidR="002C5D72" w:rsidRDefault="00000000">
      <w:pPr>
        <w:spacing w:after="0" w:line="480" w:lineRule="auto"/>
        <w:jc w:val="both"/>
        <w:rPr>
          <w:szCs w:val="24"/>
        </w:rPr>
      </w:pPr>
      <w:r>
        <w:rPr>
          <w:szCs w:val="24"/>
        </w:rPr>
        <w:lastRenderedPageBreak/>
        <w:t xml:space="preserve">The leaves, bark, roots and flowers have been used in folklore medicine in the treatment of many diseases such hypertension, malaria, respiratory conditions, leprosy, rheumatism, jaundice, wounds, diarrhoeal diseases, toothaches and so on (Dedehou </w:t>
      </w:r>
      <w:r>
        <w:rPr>
          <w:i/>
          <w:iCs/>
          <w:szCs w:val="24"/>
        </w:rPr>
        <w:t>et al</w:t>
      </w:r>
      <w:r>
        <w:rPr>
          <w:szCs w:val="24"/>
        </w:rPr>
        <w:t xml:space="preserve">., 2016, Adaramola </w:t>
      </w:r>
      <w:r>
        <w:rPr>
          <w:i/>
          <w:iCs/>
          <w:szCs w:val="24"/>
        </w:rPr>
        <w:t>et al</w:t>
      </w:r>
      <w:r>
        <w:rPr>
          <w:szCs w:val="24"/>
        </w:rPr>
        <w:t xml:space="preserve">., 2013, </w:t>
      </w:r>
      <w:bookmarkStart w:id="4" w:name="_Hlk172023521"/>
      <w:r>
        <w:rPr>
          <w:szCs w:val="24"/>
        </w:rPr>
        <w:t>Udobi and Onaolapo, 2010</w:t>
      </w:r>
      <w:bookmarkEnd w:id="4"/>
      <w:r>
        <w:rPr>
          <w:szCs w:val="24"/>
        </w:rPr>
        <w:t xml:space="preserve">). </w:t>
      </w:r>
    </w:p>
    <w:p w14:paraId="06ECDC49" w14:textId="77777777" w:rsidR="002C5D72" w:rsidRDefault="002C5D72">
      <w:pPr>
        <w:spacing w:after="0" w:line="480" w:lineRule="auto"/>
        <w:jc w:val="both"/>
        <w:rPr>
          <w:szCs w:val="24"/>
        </w:rPr>
      </w:pPr>
    </w:p>
    <w:p w14:paraId="47CB868E" w14:textId="77777777" w:rsidR="002C5D72" w:rsidRDefault="00000000">
      <w:pPr>
        <w:jc w:val="both"/>
        <w:rPr>
          <w:i/>
          <w:iCs/>
          <w:szCs w:val="24"/>
        </w:rPr>
      </w:pPr>
      <w:r>
        <w:rPr>
          <w:i/>
          <w:iCs/>
          <w:szCs w:val="24"/>
        </w:rPr>
        <w:t>Phytochemical composition of Parkia biglobosa</w:t>
      </w:r>
    </w:p>
    <w:p w14:paraId="65F5CB9A" w14:textId="77777777" w:rsidR="002C5D72" w:rsidRDefault="00000000">
      <w:pPr>
        <w:spacing w:after="0" w:line="480" w:lineRule="auto"/>
        <w:jc w:val="both"/>
      </w:pPr>
      <w:r>
        <w:rPr>
          <w:szCs w:val="24"/>
        </w:rPr>
        <w:t xml:space="preserve">The stem-bark of </w:t>
      </w:r>
      <w:r>
        <w:rPr>
          <w:i/>
          <w:iCs/>
          <w:szCs w:val="24"/>
        </w:rPr>
        <w:t xml:space="preserve">Parkia biglobosa </w:t>
      </w:r>
      <w:r>
        <w:rPr>
          <w:szCs w:val="24"/>
        </w:rPr>
        <w:t>contains flavonoids, tannins, terpenes, saponins, sterols, phenols, reducing sugars and long-chain esters and catechins of various kinds (</w:t>
      </w:r>
      <w:bookmarkStart w:id="5" w:name="_Hlk172023548"/>
      <w:r>
        <w:rPr>
          <w:szCs w:val="24"/>
        </w:rPr>
        <w:t xml:space="preserve">Builders </w:t>
      </w:r>
      <w:r>
        <w:rPr>
          <w:i/>
          <w:iCs/>
          <w:szCs w:val="24"/>
        </w:rPr>
        <w:t>et al.</w:t>
      </w:r>
      <w:r>
        <w:rPr>
          <w:szCs w:val="24"/>
        </w:rPr>
        <w:t xml:space="preserve">, 2012, Udobi and Onaolapo, 2009). </w:t>
      </w:r>
      <w:bookmarkEnd w:id="5"/>
      <w:r>
        <w:rPr>
          <w:szCs w:val="24"/>
        </w:rPr>
        <w:t>The use of medicinal plants as treatments against microbial invasion and remedies for diseases dates back to early civilizations and there has been a global resurgence of herbal preparations and integration of phytomedicines in orthodox health care systems (</w:t>
      </w:r>
      <w:bookmarkStart w:id="6" w:name="_Hlk172023597"/>
      <w:r>
        <w:rPr>
          <w:szCs w:val="24"/>
        </w:rPr>
        <w:t xml:space="preserve">Abioye </w:t>
      </w:r>
      <w:r>
        <w:rPr>
          <w:i/>
          <w:iCs/>
          <w:szCs w:val="24"/>
        </w:rPr>
        <w:t>et al</w:t>
      </w:r>
      <w:r>
        <w:rPr>
          <w:szCs w:val="24"/>
        </w:rPr>
        <w:t>., 2013</w:t>
      </w:r>
      <w:bookmarkEnd w:id="6"/>
      <w:r>
        <w:rPr>
          <w:szCs w:val="24"/>
        </w:rPr>
        <w:t>). Emergence of accessible medicinal plants and discovery of new active substances will go a long way to tackle antimicrobial resistance and revolutionize the world of pharmaceuticals (</w:t>
      </w:r>
      <w:bookmarkStart w:id="7" w:name="_Hlk172023622"/>
      <w:r>
        <w:rPr>
          <w:szCs w:val="24"/>
        </w:rPr>
        <w:t>Osemwegie &amp; Dahunsi, 2015)</w:t>
      </w:r>
      <w:bookmarkEnd w:id="7"/>
      <w:r>
        <w:rPr>
          <w:szCs w:val="24"/>
        </w:rPr>
        <w:t>.</w:t>
      </w:r>
    </w:p>
    <w:p w14:paraId="2190C0DE" w14:textId="77777777" w:rsidR="002C5D72" w:rsidRDefault="002C5D72">
      <w:pPr>
        <w:spacing w:after="0" w:line="480" w:lineRule="auto"/>
        <w:jc w:val="both"/>
      </w:pPr>
    </w:p>
    <w:p w14:paraId="4943CA08" w14:textId="77777777" w:rsidR="002C5D72" w:rsidRDefault="00000000">
      <w:pPr>
        <w:spacing w:after="0" w:line="480" w:lineRule="auto"/>
        <w:jc w:val="both"/>
      </w:pPr>
      <w:r>
        <w:t>METHODOLOGY</w:t>
      </w:r>
    </w:p>
    <w:p w14:paraId="48AA7663" w14:textId="77777777" w:rsidR="002C5D72" w:rsidRDefault="00000000">
      <w:pPr>
        <w:spacing w:after="0" w:line="480" w:lineRule="auto"/>
        <w:jc w:val="both"/>
        <w:rPr>
          <w:rFonts w:cs="Arial"/>
          <w:i/>
          <w:iCs/>
          <w:color w:val="auto"/>
          <w:szCs w:val="22"/>
        </w:rPr>
      </w:pPr>
      <w:r>
        <w:rPr>
          <w:rFonts w:cs="Arial"/>
          <w:i/>
          <w:iCs/>
          <w:color w:val="auto"/>
          <w:szCs w:val="22"/>
        </w:rPr>
        <w:t>Collection of plant material</w:t>
      </w:r>
    </w:p>
    <w:p w14:paraId="4E8C99DE" w14:textId="77777777" w:rsidR="002C5D72" w:rsidRDefault="00000000">
      <w:pPr>
        <w:spacing w:after="0" w:line="480" w:lineRule="auto"/>
        <w:jc w:val="both"/>
        <w:rPr>
          <w:rFonts w:cs="Arial"/>
          <w:color w:val="auto"/>
          <w:szCs w:val="22"/>
        </w:rPr>
      </w:pPr>
      <w:r>
        <w:rPr>
          <w:rFonts w:cs="Arial"/>
          <w:color w:val="auto"/>
          <w:szCs w:val="22"/>
        </w:rPr>
        <w:t xml:space="preserve">The stem-bark of the plant, </w:t>
      </w:r>
      <w:r>
        <w:rPr>
          <w:rFonts w:cs="Arial"/>
          <w:i/>
          <w:iCs/>
          <w:color w:val="auto"/>
          <w:szCs w:val="22"/>
        </w:rPr>
        <w:t>Parkia biglobosa</w:t>
      </w:r>
      <w:r>
        <w:rPr>
          <w:rFonts w:cs="Arial"/>
          <w:color w:val="auto"/>
          <w:szCs w:val="22"/>
        </w:rPr>
        <w:t xml:space="preserve"> was collected from ABU Dam area of Samaru village in Zaria, Kaduna State. The plant sample was deposited and authenticated by Mr Namadi Sunusi in the Herbarium section of the Department of Botany, Ahmadu Bello University, Zaria with a voucher number (VN) ABU07064. </w:t>
      </w:r>
    </w:p>
    <w:p w14:paraId="02F7B4B1" w14:textId="77777777" w:rsidR="002C5D72" w:rsidRDefault="00000000">
      <w:pPr>
        <w:spacing w:after="0" w:line="480" w:lineRule="auto"/>
        <w:jc w:val="both"/>
        <w:rPr>
          <w:rFonts w:cs="Arial"/>
          <w:i/>
          <w:iCs/>
          <w:color w:val="auto"/>
          <w:szCs w:val="22"/>
        </w:rPr>
      </w:pPr>
      <w:r>
        <w:rPr>
          <w:rFonts w:cs="Arial"/>
          <w:i/>
          <w:iCs/>
          <w:color w:val="auto"/>
          <w:szCs w:val="22"/>
        </w:rPr>
        <w:t>Preparation of the plant material</w:t>
      </w:r>
    </w:p>
    <w:p w14:paraId="73DB9203" w14:textId="77777777" w:rsidR="002C5D72" w:rsidRDefault="00000000">
      <w:pPr>
        <w:spacing w:after="0" w:line="480" w:lineRule="auto"/>
        <w:jc w:val="both"/>
        <w:rPr>
          <w:rFonts w:cs="Arial"/>
          <w:color w:val="auto"/>
          <w:szCs w:val="22"/>
        </w:rPr>
      </w:pPr>
      <w:r>
        <w:rPr>
          <w:rFonts w:cs="Arial"/>
          <w:color w:val="auto"/>
          <w:szCs w:val="22"/>
        </w:rPr>
        <w:t xml:space="preserve">Upon collection, the stem-bark was washed under clean running tap water, air-dried at room temperature in the laboratory for 7 days and then grounded into coarse powder in a mortar </w:t>
      </w:r>
      <w:r>
        <w:rPr>
          <w:rFonts w:cs="Arial"/>
          <w:color w:val="auto"/>
          <w:szCs w:val="22"/>
        </w:rPr>
        <w:lastRenderedPageBreak/>
        <w:t xml:space="preserve">(Harbonne, 1998). The grounded powder was extracted with distilled water and methanol separately using a Soxhlet apparatus. Subsequently, the solvents were removed by gentle heating and evaporation and the extract obtained was stored in a desiccator until needed (Udobi and Onaolapo, 2012). The methanol extract showed better antibacterial activity in a preliminary susceptibility test and was chosen for further tests. The methanol extract of the stem-bark was fractionated sequentially using petroleum ether, chloroform and water. </w:t>
      </w:r>
    </w:p>
    <w:p w14:paraId="497D6145" w14:textId="77777777" w:rsidR="002C5D72" w:rsidRDefault="002C5D72">
      <w:pPr>
        <w:spacing w:after="0" w:line="480" w:lineRule="auto"/>
        <w:jc w:val="both"/>
        <w:rPr>
          <w:rFonts w:cs="Arial"/>
          <w:color w:val="auto"/>
          <w:szCs w:val="22"/>
        </w:rPr>
      </w:pPr>
    </w:p>
    <w:p w14:paraId="6A097F49" w14:textId="77777777" w:rsidR="002C5D72" w:rsidRDefault="00000000">
      <w:pPr>
        <w:spacing w:after="0" w:line="480" w:lineRule="auto"/>
        <w:jc w:val="both"/>
        <w:rPr>
          <w:rFonts w:cs="Arial"/>
          <w:i/>
          <w:iCs/>
          <w:color w:val="auto"/>
          <w:szCs w:val="22"/>
        </w:rPr>
      </w:pPr>
      <w:r>
        <w:rPr>
          <w:rFonts w:cs="Arial"/>
          <w:i/>
          <w:iCs/>
          <w:color w:val="auto"/>
          <w:szCs w:val="22"/>
        </w:rPr>
        <w:t>Fractionation of the plant extract</w:t>
      </w:r>
    </w:p>
    <w:p w14:paraId="096510F4" w14:textId="77777777" w:rsidR="002C5D72" w:rsidRDefault="00000000">
      <w:pPr>
        <w:spacing w:after="0" w:line="480" w:lineRule="auto"/>
        <w:jc w:val="both"/>
        <w:rPr>
          <w:rFonts w:cs="Arial"/>
          <w:color w:val="auto"/>
          <w:szCs w:val="22"/>
        </w:rPr>
      </w:pPr>
      <w:r>
        <w:rPr>
          <w:rFonts w:cs="Arial"/>
          <w:color w:val="auto"/>
          <w:szCs w:val="22"/>
        </w:rPr>
        <w:t>The dried plant extract was first grounded in a mortar</w:t>
      </w:r>
      <w:r>
        <w:rPr>
          <w:rFonts w:cs="Arial"/>
          <w:color w:val="auto"/>
          <w:szCs w:val="22"/>
          <w:lang w:val="en-US"/>
        </w:rPr>
        <w:t>,</w:t>
      </w:r>
      <w:r>
        <w:rPr>
          <w:rFonts w:cs="Arial"/>
          <w:color w:val="auto"/>
          <w:szCs w:val="22"/>
        </w:rPr>
        <w:t xml:space="preserve"> hydrated with distilled water, and then shaken vigorously in a separating flask. The mixture was filtered with the aid of filter paper to remove solid remains or mass. Petroleum ether was added to the filtrate and shaken gently and allowed to stand on the laboratory bench. Upon settling the upper layer of petroleum ether layer was removed gently and concentrated. Chloroform was added to the remaining mixture, shaken gently and left to settle. The chloroform layer was separated from the aqueous layer and concentrated to dryness until all solvent content had evaporated. The aqueous layer was dried using mild heat and the fraction obtained was stored in a dry place until needed (</w:t>
      </w:r>
      <w:bookmarkStart w:id="8" w:name="_Hlk164272781"/>
      <w:r>
        <w:rPr>
          <w:rFonts w:cs="Arial"/>
          <w:color w:val="auto"/>
          <w:szCs w:val="22"/>
        </w:rPr>
        <w:t>Udobi and Onaolapo, 2012</w:t>
      </w:r>
      <w:bookmarkEnd w:id="8"/>
      <w:r>
        <w:rPr>
          <w:rFonts w:cs="Arial"/>
          <w:color w:val="auto"/>
          <w:szCs w:val="22"/>
        </w:rPr>
        <w:t>).</w:t>
      </w:r>
    </w:p>
    <w:p w14:paraId="054816AB" w14:textId="77777777" w:rsidR="002C5D72" w:rsidRDefault="002C5D72">
      <w:pPr>
        <w:spacing w:after="0" w:line="480" w:lineRule="auto"/>
        <w:jc w:val="both"/>
        <w:rPr>
          <w:rFonts w:cs="Arial"/>
          <w:color w:val="auto"/>
          <w:szCs w:val="22"/>
        </w:rPr>
      </w:pPr>
    </w:p>
    <w:p w14:paraId="399A502D" w14:textId="77777777" w:rsidR="002C5D72" w:rsidRDefault="00000000">
      <w:pPr>
        <w:spacing w:after="0" w:line="360" w:lineRule="auto"/>
        <w:jc w:val="both"/>
        <w:rPr>
          <w:rFonts w:cs="Arial"/>
          <w:i/>
          <w:iCs/>
          <w:color w:val="auto"/>
          <w:szCs w:val="22"/>
        </w:rPr>
      </w:pPr>
      <w:r>
        <w:rPr>
          <w:rFonts w:cs="Arial"/>
          <w:i/>
          <w:iCs/>
          <w:color w:val="auto"/>
          <w:szCs w:val="22"/>
        </w:rPr>
        <w:t>Antibacterial susceptibility testing using the aqueous fraction from stem-bark methanol extract of Parkia biglobosa</w:t>
      </w:r>
    </w:p>
    <w:p w14:paraId="70028EB5" w14:textId="77777777" w:rsidR="002C5D72" w:rsidRDefault="00000000">
      <w:pPr>
        <w:spacing w:after="0" w:line="480" w:lineRule="auto"/>
        <w:jc w:val="both"/>
        <w:rPr>
          <w:rFonts w:cs="Arial"/>
          <w:color w:val="auto"/>
          <w:szCs w:val="22"/>
        </w:rPr>
      </w:pPr>
      <w:r>
        <w:rPr>
          <w:rFonts w:cs="Arial"/>
          <w:color w:val="auto"/>
          <w:szCs w:val="22"/>
        </w:rPr>
        <w:t xml:space="preserve">Agar well diffusion method was used to determine the antibacterial susceptibility of the isolates to the aqueous fraction from the stem-bark methanol extract of </w:t>
      </w:r>
      <w:r>
        <w:rPr>
          <w:rFonts w:cs="Arial"/>
          <w:i/>
          <w:iCs/>
          <w:color w:val="auto"/>
          <w:szCs w:val="22"/>
        </w:rPr>
        <w:t>Parkia biglobosa</w:t>
      </w:r>
      <w:r>
        <w:rPr>
          <w:rFonts w:cs="Arial"/>
          <w:color w:val="auto"/>
          <w:szCs w:val="22"/>
        </w:rPr>
        <w:t>. Sterile Mueller Hinton agar was inoculated aseptically with 100</w:t>
      </w:r>
      <w:r>
        <w:rPr>
          <w:color w:val="auto"/>
          <w:szCs w:val="22"/>
        </w:rPr>
        <w:t>µ</w:t>
      </w:r>
      <w:r>
        <w:rPr>
          <w:rFonts w:cs="Arial"/>
          <w:color w:val="auto"/>
          <w:szCs w:val="22"/>
        </w:rPr>
        <w:t>l of ~10</w:t>
      </w:r>
      <w:r>
        <w:rPr>
          <w:rFonts w:cs="Arial"/>
          <w:color w:val="auto"/>
          <w:szCs w:val="22"/>
          <w:vertAlign w:val="superscript"/>
        </w:rPr>
        <w:t xml:space="preserve">8 </w:t>
      </w:r>
      <w:r>
        <w:rPr>
          <w:rFonts w:cs="Arial"/>
          <w:color w:val="auto"/>
          <w:szCs w:val="22"/>
        </w:rPr>
        <w:t xml:space="preserve">CFU/ml (0.5 MacFarland standard) concentration of inoculum spread over the agar surface. Wells were bored into the agar plates </w:t>
      </w:r>
      <w:r>
        <w:rPr>
          <w:rFonts w:cs="Arial"/>
          <w:color w:val="auto"/>
          <w:szCs w:val="22"/>
        </w:rPr>
        <w:lastRenderedPageBreak/>
        <w:t>using sterile 6mm cork-borer and each of the bored wells were sealed with a drop of sterile molten agar. One hundred microlitre of different concentrations 6.25mg/ml, 12.5mg/ml, 25mg/ml, 50mg/ml, 100mg/ml and 200mg/ml of the fraction was dispensed into the previously labelled wells. The plates were left on the work bench for one hour at room temperature to allow for diffusion of the fraction and then incubated at 37</w:t>
      </w:r>
      <w:r>
        <w:rPr>
          <w:rFonts w:cs="Arial"/>
          <w:color w:val="auto"/>
          <w:szCs w:val="22"/>
          <w:vertAlign w:val="superscript"/>
        </w:rPr>
        <w:t>O</w:t>
      </w:r>
      <w:r>
        <w:rPr>
          <w:rFonts w:cs="Arial"/>
          <w:color w:val="auto"/>
          <w:szCs w:val="22"/>
        </w:rPr>
        <w:t xml:space="preserve">C for 24 hours.  Zones of inhibition were measured to the nearest millimetre (Udobi and Onaolapo, 2009; </w:t>
      </w:r>
      <w:bookmarkStart w:id="9" w:name="_Hlk164272952"/>
      <w:r>
        <w:rPr>
          <w:rFonts w:cs="Arial"/>
          <w:color w:val="auto"/>
          <w:szCs w:val="22"/>
        </w:rPr>
        <w:t xml:space="preserve">Jauro </w:t>
      </w:r>
      <w:r>
        <w:rPr>
          <w:rFonts w:cs="Arial"/>
          <w:i/>
          <w:iCs/>
          <w:color w:val="auto"/>
          <w:szCs w:val="22"/>
        </w:rPr>
        <w:t>et al</w:t>
      </w:r>
      <w:r>
        <w:rPr>
          <w:rFonts w:cs="Arial"/>
          <w:color w:val="auto"/>
          <w:szCs w:val="22"/>
        </w:rPr>
        <w:t>., 2018</w:t>
      </w:r>
      <w:bookmarkEnd w:id="9"/>
      <w:r>
        <w:rPr>
          <w:rFonts w:cs="Arial"/>
          <w:color w:val="auto"/>
          <w:szCs w:val="22"/>
        </w:rPr>
        <w:t>) and the susceptibility results of the fraction against the isolates was compared to the CLSI interpretative chart for Gentamicin and Ciprofloxacin (CLSI, 2018).</w:t>
      </w:r>
    </w:p>
    <w:p w14:paraId="2D29B715" w14:textId="77777777" w:rsidR="002C5D72" w:rsidRDefault="002C5D72">
      <w:pPr>
        <w:spacing w:after="0" w:line="480" w:lineRule="auto"/>
        <w:jc w:val="both"/>
        <w:rPr>
          <w:rFonts w:cs="Arial"/>
          <w:color w:val="auto"/>
          <w:szCs w:val="22"/>
        </w:rPr>
      </w:pPr>
    </w:p>
    <w:p w14:paraId="346167E3" w14:textId="77777777" w:rsidR="002C5D72" w:rsidRDefault="00000000">
      <w:pPr>
        <w:spacing w:after="0" w:line="360" w:lineRule="auto"/>
        <w:jc w:val="both"/>
        <w:rPr>
          <w:rFonts w:cs="Arial"/>
          <w:i/>
          <w:iCs/>
          <w:color w:val="auto"/>
          <w:szCs w:val="22"/>
        </w:rPr>
      </w:pPr>
      <w:r>
        <w:rPr>
          <w:rFonts w:cs="Arial"/>
          <w:i/>
          <w:iCs/>
          <w:color w:val="auto"/>
          <w:szCs w:val="22"/>
        </w:rPr>
        <w:t>Determination of Minimum Inhibitory Concentration (MIC) and Minimum Bactericidal</w:t>
      </w:r>
      <w:r>
        <w:rPr>
          <w:rFonts w:cs="Arial"/>
          <w:i/>
          <w:iCs/>
          <w:color w:val="auto"/>
          <w:szCs w:val="22"/>
        </w:rPr>
        <w:tab/>
        <w:t>Concentration (MBC)</w:t>
      </w:r>
    </w:p>
    <w:p w14:paraId="17DB3F57" w14:textId="77777777" w:rsidR="002C5D72" w:rsidRDefault="00000000">
      <w:pPr>
        <w:spacing w:after="0" w:line="480" w:lineRule="auto"/>
        <w:jc w:val="both"/>
        <w:rPr>
          <w:rFonts w:cs="Arial"/>
          <w:color w:val="auto"/>
          <w:szCs w:val="22"/>
        </w:rPr>
      </w:pPr>
      <w:r>
        <w:rPr>
          <w:rFonts w:cs="Arial"/>
          <w:color w:val="auto"/>
          <w:szCs w:val="22"/>
        </w:rPr>
        <w:t>Standardized inoculum of each isolate (~10</w:t>
      </w:r>
      <w:r>
        <w:rPr>
          <w:rFonts w:cs="Arial"/>
          <w:color w:val="auto"/>
          <w:szCs w:val="22"/>
          <w:vertAlign w:val="superscript"/>
        </w:rPr>
        <w:t>8</w:t>
      </w:r>
      <w:r>
        <w:rPr>
          <w:rFonts w:cs="Arial"/>
          <w:color w:val="auto"/>
          <w:szCs w:val="22"/>
        </w:rPr>
        <w:t>Cfu/ml) was prepared. Two millilitre (2ml) was mixed in sterile Mueller Hinton broth in test tubes with 2ml of extract to obtain final concentrations ranging from 3.125mg/ml to 100mg/ml. Two test tubes were used as controls; positive control contained only the growth organisms without extract while negative control had only sterile media. The negative control was to confirm the sterility of the broth and the positive control, the viability of the organisms. The test tubes were incubated at 37</w:t>
      </w:r>
      <w:r>
        <w:rPr>
          <w:rFonts w:cs="Arial"/>
          <w:color w:val="auto"/>
          <w:szCs w:val="22"/>
          <w:vertAlign w:val="superscript"/>
        </w:rPr>
        <w:t>O</w:t>
      </w:r>
      <w:r>
        <w:rPr>
          <w:rFonts w:cs="Arial"/>
          <w:color w:val="auto"/>
          <w:szCs w:val="22"/>
        </w:rPr>
        <w:t xml:space="preserve">C for 24 hours, after which the tubes were removed gently and observed for turbidity at the different concentrations. The lowest concentration of the fraction that showed no turbidity or growth of organism was considered as the minimum inhibitory concentration (MIC). </w:t>
      </w:r>
    </w:p>
    <w:p w14:paraId="5119B835" w14:textId="77777777" w:rsidR="002C5D72" w:rsidRDefault="00000000">
      <w:pPr>
        <w:spacing w:after="0" w:line="480" w:lineRule="auto"/>
        <w:jc w:val="both"/>
        <w:rPr>
          <w:rFonts w:cs="Arial"/>
          <w:color w:val="auto"/>
          <w:szCs w:val="22"/>
        </w:rPr>
      </w:pPr>
      <w:r>
        <w:rPr>
          <w:rFonts w:cs="Arial"/>
          <w:color w:val="auto"/>
          <w:szCs w:val="22"/>
        </w:rPr>
        <w:t>Subsequently, the contents of the tubes with concentrations of extracts which inhibited growth were plated on to sterile Mueller Hinton agar plates and incubated at 37</w:t>
      </w:r>
      <w:r>
        <w:rPr>
          <w:rFonts w:cs="Arial"/>
          <w:color w:val="auto"/>
          <w:szCs w:val="22"/>
          <w:vertAlign w:val="superscript"/>
        </w:rPr>
        <w:t>O</w:t>
      </w:r>
      <w:r>
        <w:rPr>
          <w:rFonts w:cs="Arial"/>
          <w:color w:val="auto"/>
          <w:szCs w:val="22"/>
        </w:rPr>
        <w:t xml:space="preserve">C for 24 hours. Afterwards, the plates were observed for growth or no growth. The lowest concentration in </w:t>
      </w:r>
      <w:r>
        <w:rPr>
          <w:rFonts w:cs="Arial"/>
          <w:color w:val="auto"/>
          <w:szCs w:val="22"/>
        </w:rPr>
        <w:lastRenderedPageBreak/>
        <w:t xml:space="preserve">which there was no growth of organisms was considered the minimum bactericidal concentration (MBC) (Udobi and Onaolapo, 2009; Jauro </w:t>
      </w:r>
      <w:r>
        <w:rPr>
          <w:rFonts w:cs="Arial"/>
          <w:i/>
          <w:iCs/>
          <w:color w:val="auto"/>
          <w:szCs w:val="22"/>
        </w:rPr>
        <w:t>et al</w:t>
      </w:r>
      <w:r>
        <w:rPr>
          <w:rFonts w:cs="Arial"/>
          <w:color w:val="auto"/>
          <w:szCs w:val="22"/>
        </w:rPr>
        <w:t xml:space="preserve">., 2018).  </w:t>
      </w:r>
    </w:p>
    <w:p w14:paraId="62BCADA8" w14:textId="77777777" w:rsidR="002C5D72" w:rsidRDefault="002C5D72">
      <w:pPr>
        <w:spacing w:after="0" w:line="480" w:lineRule="auto"/>
        <w:jc w:val="both"/>
        <w:rPr>
          <w:rFonts w:cs="Arial"/>
          <w:color w:val="auto"/>
          <w:szCs w:val="22"/>
        </w:rPr>
      </w:pPr>
    </w:p>
    <w:p w14:paraId="7B5EEF27" w14:textId="77777777" w:rsidR="002C5D72" w:rsidRDefault="00000000">
      <w:pPr>
        <w:spacing w:after="0" w:line="360" w:lineRule="auto"/>
        <w:jc w:val="both"/>
        <w:rPr>
          <w:rFonts w:cs="Arial"/>
          <w:i/>
          <w:iCs/>
          <w:color w:val="auto"/>
          <w:szCs w:val="22"/>
        </w:rPr>
      </w:pPr>
      <w:r>
        <w:rPr>
          <w:rFonts w:cs="Arial"/>
          <w:i/>
          <w:iCs/>
          <w:color w:val="auto"/>
          <w:szCs w:val="22"/>
        </w:rPr>
        <w:t xml:space="preserve">Determination of biofilm inhibition and antibiofilm activity of aqueous fraction from stem-bark methanol extract of Parkia biglobosa </w:t>
      </w:r>
    </w:p>
    <w:p w14:paraId="0409A54E" w14:textId="77777777" w:rsidR="002C5D72" w:rsidRDefault="00000000">
      <w:pPr>
        <w:tabs>
          <w:tab w:val="left" w:pos="567"/>
        </w:tabs>
        <w:spacing w:after="0" w:line="480" w:lineRule="auto"/>
        <w:jc w:val="both"/>
        <w:rPr>
          <w:rFonts w:eastAsia="Times New Roman" w:cs="Arial"/>
          <w:color w:val="auto"/>
          <w:szCs w:val="22"/>
        </w:rPr>
      </w:pPr>
      <w:r>
        <w:rPr>
          <w:rFonts w:eastAsia="Times New Roman" w:cs="Arial"/>
          <w:color w:val="auto"/>
          <w:szCs w:val="22"/>
        </w:rPr>
        <w:t xml:space="preserve">Two stages of biofilm development were considered; prevention of biofilm attachment and destruction of 24-hour preformed biofilms. </w:t>
      </w:r>
    </w:p>
    <w:p w14:paraId="011757D0" w14:textId="77777777" w:rsidR="002C5D72" w:rsidRDefault="00000000">
      <w:pPr>
        <w:spacing w:after="0" w:line="360" w:lineRule="auto"/>
        <w:jc w:val="both"/>
        <w:rPr>
          <w:rFonts w:eastAsia="Times New Roman" w:cs="Arial"/>
          <w:i/>
          <w:iCs/>
          <w:color w:val="auto"/>
          <w:szCs w:val="22"/>
        </w:rPr>
      </w:pPr>
      <w:r>
        <w:rPr>
          <w:rFonts w:cs="Arial"/>
          <w:i/>
          <w:iCs/>
          <w:color w:val="auto"/>
          <w:szCs w:val="22"/>
        </w:rPr>
        <w:t xml:space="preserve">Determination of biofilm inhibition by aqueous fraction from stem-bark methanol extract of Parkia biglobosa </w:t>
      </w:r>
    </w:p>
    <w:p w14:paraId="77907C0F" w14:textId="77777777" w:rsidR="002C5D72" w:rsidRDefault="00000000">
      <w:pPr>
        <w:spacing w:after="0" w:line="480" w:lineRule="auto"/>
        <w:jc w:val="both"/>
        <w:rPr>
          <w:rFonts w:eastAsia="Times New Roman" w:cs="Arial"/>
          <w:color w:val="auto"/>
          <w:szCs w:val="22"/>
        </w:rPr>
      </w:pPr>
      <w:r>
        <w:rPr>
          <w:rFonts w:eastAsia="Times New Roman" w:cs="Arial"/>
          <w:color w:val="auto"/>
          <w:szCs w:val="22"/>
        </w:rPr>
        <w:t xml:space="preserve">Biofilm inhibition by the aqueous fraction from stem-bark methanol extract of </w:t>
      </w:r>
      <w:r>
        <w:rPr>
          <w:rFonts w:eastAsia="Times New Roman" w:cs="Arial"/>
          <w:i/>
          <w:iCs/>
          <w:color w:val="auto"/>
          <w:szCs w:val="22"/>
        </w:rPr>
        <w:t>Parkia biglobosa</w:t>
      </w:r>
      <w:r>
        <w:rPr>
          <w:rFonts w:eastAsia="Times New Roman" w:cs="Arial"/>
          <w:color w:val="auto"/>
          <w:szCs w:val="22"/>
        </w:rPr>
        <w:t xml:space="preserve"> was evaluated using 96-well polystyrene flat-bottom microtitre plates with the method described by </w:t>
      </w:r>
      <w:bookmarkStart w:id="10" w:name="_Hlk172023786"/>
      <w:bookmarkStart w:id="11" w:name="_Hlk164273017"/>
      <w:r>
        <w:rPr>
          <w:rFonts w:eastAsia="Times New Roman" w:cs="Arial"/>
          <w:color w:val="auto"/>
          <w:szCs w:val="22"/>
        </w:rPr>
        <w:t xml:space="preserve">Antunes </w:t>
      </w:r>
      <w:r>
        <w:rPr>
          <w:rFonts w:eastAsia="Times New Roman" w:cs="Arial"/>
          <w:i/>
          <w:iCs/>
          <w:color w:val="auto"/>
          <w:szCs w:val="22"/>
        </w:rPr>
        <w:t>et al</w:t>
      </w:r>
      <w:r>
        <w:rPr>
          <w:rFonts w:eastAsia="Times New Roman" w:cs="Arial"/>
          <w:color w:val="auto"/>
          <w:szCs w:val="22"/>
        </w:rPr>
        <w:t>., (2010)</w:t>
      </w:r>
      <w:bookmarkEnd w:id="10"/>
      <w:r>
        <w:rPr>
          <w:rFonts w:eastAsia="Times New Roman" w:cs="Arial"/>
          <w:color w:val="auto"/>
          <w:szCs w:val="22"/>
        </w:rPr>
        <w:t xml:space="preserve">. </w:t>
      </w:r>
      <w:bookmarkEnd w:id="11"/>
      <w:r>
        <w:rPr>
          <w:rFonts w:eastAsia="Times New Roman" w:cs="Arial"/>
          <w:color w:val="auto"/>
          <w:szCs w:val="22"/>
        </w:rPr>
        <w:t>Two hundred microlitre of fresh trypticase soy yeast broth (TSB) in 1% glucose inoculated with 20</w:t>
      </w:r>
      <w:r>
        <w:rPr>
          <w:rFonts w:eastAsia="STIXGeneral-Regular" w:cs="Arial"/>
          <w:color w:val="auto"/>
          <w:szCs w:val="22"/>
        </w:rPr>
        <w:t>μ</w:t>
      </w:r>
      <w:r>
        <w:rPr>
          <w:rFonts w:cs="Arial"/>
          <w:color w:val="auto"/>
          <w:szCs w:val="22"/>
        </w:rPr>
        <w:t>l</w:t>
      </w:r>
      <w:r>
        <w:rPr>
          <w:rFonts w:eastAsia="Times New Roman" w:cs="Arial"/>
          <w:color w:val="auto"/>
          <w:szCs w:val="22"/>
        </w:rPr>
        <w:t xml:space="preserve"> of standardized isolates (final concentration 10</w:t>
      </w:r>
      <w:r>
        <w:rPr>
          <w:rFonts w:eastAsia="Times New Roman" w:cs="Arial"/>
          <w:color w:val="auto"/>
          <w:szCs w:val="22"/>
          <w:vertAlign w:val="superscript"/>
        </w:rPr>
        <w:t>6</w:t>
      </w:r>
      <w:r>
        <w:rPr>
          <w:rFonts w:eastAsia="Times New Roman" w:cs="Arial"/>
          <w:color w:val="auto"/>
          <w:szCs w:val="22"/>
        </w:rPr>
        <w:t xml:space="preserve"> CFU/mL) was aliquoted into each well of microtitre plate and cultured in the presence of 20</w:t>
      </w:r>
      <w:r>
        <w:rPr>
          <w:rFonts w:eastAsia="STIXGeneral-Regular" w:cs="Arial"/>
          <w:color w:val="auto"/>
          <w:szCs w:val="22"/>
        </w:rPr>
        <w:t>μ</w:t>
      </w:r>
      <w:r>
        <w:rPr>
          <w:rFonts w:cs="Arial"/>
          <w:color w:val="auto"/>
          <w:szCs w:val="22"/>
        </w:rPr>
        <w:t>l</w:t>
      </w:r>
      <w:r>
        <w:rPr>
          <w:rFonts w:eastAsia="Times New Roman" w:cs="Arial"/>
          <w:color w:val="auto"/>
          <w:szCs w:val="22"/>
        </w:rPr>
        <w:t xml:space="preserve"> sublethal concentrations of the fraction thus; sub-MIC, MIC, and sub-MBC. Wells containing sterile media was used as control. The plates were incubated at aerobically 37</w:t>
      </w:r>
      <w:r>
        <w:rPr>
          <w:rFonts w:cs="Arial"/>
          <w:color w:val="auto"/>
          <w:szCs w:val="22"/>
        </w:rPr>
        <w:t>°C</w:t>
      </w:r>
      <w:r>
        <w:rPr>
          <w:rFonts w:eastAsia="Times New Roman" w:cs="Arial"/>
          <w:color w:val="auto"/>
          <w:szCs w:val="22"/>
        </w:rPr>
        <w:t xml:space="preserve"> for 48h. </w:t>
      </w:r>
    </w:p>
    <w:p w14:paraId="7CF43FD0" w14:textId="77777777" w:rsidR="002C5D72" w:rsidRDefault="00000000">
      <w:pPr>
        <w:spacing w:after="0" w:line="480" w:lineRule="auto"/>
        <w:jc w:val="both"/>
        <w:rPr>
          <w:rFonts w:eastAsia="Times New Roman" w:cs="Arial"/>
          <w:color w:val="auto"/>
          <w:szCs w:val="22"/>
        </w:rPr>
      </w:pPr>
      <w:r>
        <w:rPr>
          <w:rFonts w:eastAsia="Times New Roman" w:cs="Arial"/>
          <w:color w:val="auto"/>
          <w:szCs w:val="22"/>
        </w:rPr>
        <w:t>After incubation, supernatant was pipetted and each well washed thoroughly with sterile physiologic saline to remove free-floating cells and the plates dried in the oven at 60</w:t>
      </w:r>
      <w:r>
        <w:rPr>
          <w:rFonts w:eastAsia="Times New Roman" w:cs="Arial"/>
          <w:color w:val="auto"/>
          <w:szCs w:val="22"/>
          <w:vertAlign w:val="superscript"/>
        </w:rPr>
        <w:t>o</w:t>
      </w:r>
      <w:r>
        <w:rPr>
          <w:rFonts w:eastAsia="Times New Roman" w:cs="Arial"/>
          <w:color w:val="auto"/>
          <w:szCs w:val="22"/>
        </w:rPr>
        <w:t>C for 45 minutes. The biofilm formed was stained with 0.1% aqueous crystal violet solution and incubated at room temperature for 15 min. Following incubation, the excess stain was removed by washing the plate three times with sterile physiologic saline. The plates were allowed to dry completely. Subsequently, the dye bound to the cells was solubilized by adding 150</w:t>
      </w:r>
      <w:r>
        <w:rPr>
          <w:rFonts w:ascii="Cambria Math" w:eastAsia="Times New Roman" w:hAnsi="Cambria Math" w:cs="Cambria Math"/>
          <w:color w:val="auto"/>
          <w:szCs w:val="22"/>
        </w:rPr>
        <w:t>𝜇l</w:t>
      </w:r>
      <w:r>
        <w:rPr>
          <w:rFonts w:eastAsia="Times New Roman" w:cs="Arial"/>
          <w:color w:val="auto"/>
          <w:szCs w:val="22"/>
        </w:rPr>
        <w:t xml:space="preserve"> of 95% ethanol to each well to distain the wells and incubated at room temperature for 15min. The absorbance was measured using microplate reader at a wavelength of 570nm after gentle </w:t>
      </w:r>
      <w:r>
        <w:rPr>
          <w:rFonts w:eastAsia="Times New Roman" w:cs="Arial"/>
          <w:color w:val="auto"/>
          <w:szCs w:val="22"/>
        </w:rPr>
        <w:lastRenderedPageBreak/>
        <w:t xml:space="preserve">shaking. The mean absorbance of the sample was determined and the results expressed as percentage biofilm inhibition.  </w:t>
      </w:r>
    </w:p>
    <w:p w14:paraId="4140F763" w14:textId="77777777" w:rsidR="002C5D72" w:rsidRDefault="00000000">
      <w:pPr>
        <w:spacing w:after="0" w:line="480" w:lineRule="auto"/>
        <w:jc w:val="both"/>
        <w:rPr>
          <w:rFonts w:eastAsia="Times New Roman" w:cs="Arial"/>
          <w:color w:val="auto"/>
          <w:szCs w:val="22"/>
        </w:rPr>
      </w:pPr>
      <w:r>
        <w:rPr>
          <w:rFonts w:eastAsia="Times New Roman" w:cs="Arial"/>
          <w:color w:val="auto"/>
          <w:szCs w:val="22"/>
        </w:rPr>
        <w:t xml:space="preserve">Percentage biofilm inhibition was calculated using equation described by </w:t>
      </w:r>
      <w:bookmarkStart w:id="12" w:name="_Hlk164273039"/>
      <w:r>
        <w:rPr>
          <w:rFonts w:cs="Arial"/>
          <w:color w:val="auto"/>
          <w:szCs w:val="22"/>
        </w:rPr>
        <w:t xml:space="preserve">Olawuwo </w:t>
      </w:r>
      <w:r>
        <w:rPr>
          <w:rFonts w:cs="Arial"/>
          <w:i/>
          <w:iCs/>
          <w:color w:val="auto"/>
          <w:szCs w:val="22"/>
        </w:rPr>
        <w:t>et al</w:t>
      </w:r>
      <w:r>
        <w:rPr>
          <w:rFonts w:cs="Arial"/>
          <w:color w:val="auto"/>
          <w:szCs w:val="22"/>
        </w:rPr>
        <w:t>, (2022</w:t>
      </w:r>
      <w:bookmarkEnd w:id="12"/>
      <w:r>
        <w:rPr>
          <w:rFonts w:eastAsia="Times New Roman" w:cs="Arial"/>
          <w:color w:val="auto"/>
          <w:szCs w:val="22"/>
        </w:rPr>
        <w:t xml:space="preserve">): </w:t>
      </w:r>
    </w:p>
    <w:p w14:paraId="745F6F4C" w14:textId="098F4C08" w:rsidR="002C5D72" w:rsidRDefault="00B1744C">
      <w:pPr>
        <w:spacing w:after="0" w:line="480" w:lineRule="auto"/>
        <w:jc w:val="both"/>
        <w:rPr>
          <w:rFonts w:eastAsia="Times New Roman" w:cs="Arial"/>
          <w:color w:val="auto"/>
          <w:szCs w:val="22"/>
        </w:rPr>
      </w:pPr>
      <w:r>
        <w:rPr>
          <w:rFonts w:eastAsia="Times New Roman" w:cs="Arial"/>
          <w:noProof/>
          <w:color w:val="auto"/>
          <w:szCs w:val="22"/>
        </w:rPr>
        <mc:AlternateContent>
          <mc:Choice Requires="wps">
            <w:drawing>
              <wp:anchor distT="0" distB="0" distL="114300" distR="114300" simplePos="0" relativeHeight="251655168" behindDoc="0" locked="0" layoutInCell="1" allowOverlap="1" wp14:anchorId="4C474B89" wp14:editId="6A563DD7">
                <wp:simplePos x="0" y="0"/>
                <wp:positionH relativeFrom="column">
                  <wp:posOffset>0</wp:posOffset>
                </wp:positionH>
                <wp:positionV relativeFrom="paragraph">
                  <wp:posOffset>0</wp:posOffset>
                </wp:positionV>
                <wp:extent cx="635000" cy="635000"/>
                <wp:effectExtent l="9525" t="9525" r="12700" b="12700"/>
                <wp:wrapNone/>
                <wp:docPr id="84960640"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842E09" id="_x0000_t32" coordsize="21600,21600" o:spt="32" o:oned="t" path="m,l21600,21600e" filled="f">
                <v:path arrowok="t" fillok="f" o:connecttype="none"/>
                <o:lock v:ext="edit" shapetype="t"/>
              </v:shapetype>
              <v:shape id="AutoShape 7" o:spid="_x0000_s1026" type="#_x0000_t3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eastAsia="Times New Roman" w:cs="Arial"/>
          <w:noProof/>
          <w:color w:val="auto"/>
          <w:szCs w:val="22"/>
        </w:rPr>
        <mc:AlternateContent>
          <mc:Choice Requires="wps">
            <w:drawing>
              <wp:anchor distT="0" distB="0" distL="0" distR="0" simplePos="0" relativeHeight="251660288" behindDoc="0" locked="0" layoutInCell="1" allowOverlap="1" wp14:anchorId="6629A52D" wp14:editId="5B4366A9">
                <wp:simplePos x="0" y="0"/>
                <wp:positionH relativeFrom="column">
                  <wp:posOffset>1720850</wp:posOffset>
                </wp:positionH>
                <wp:positionV relativeFrom="paragraph">
                  <wp:posOffset>224155</wp:posOffset>
                </wp:positionV>
                <wp:extent cx="3140710" cy="0"/>
                <wp:effectExtent l="6350" t="8890" r="5715" b="10160"/>
                <wp:wrapNone/>
                <wp:docPr id="167380764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53D3F" id="1027" o:spid="_x0000_s1026" type="#_x0000_t32" style="position:absolute;margin-left:135.5pt;margin-top:17.65pt;width:247.3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"/>
            </w:pict>
          </mc:Fallback>
        </mc:AlternateContent>
      </w:r>
      <w:r w:rsidR="00000000">
        <w:rPr>
          <w:rFonts w:eastAsia="Times New Roman" w:cs="Arial"/>
          <w:color w:val="auto"/>
          <w:szCs w:val="22"/>
        </w:rPr>
        <w:t>Percentage inhibition (%) = Absorbance of control - Absorbance of experimental x 100 (%)</w:t>
      </w:r>
    </w:p>
    <w:p w14:paraId="0C3DAAC0" w14:textId="77777777" w:rsidR="002C5D72" w:rsidRDefault="00000000">
      <w:pPr>
        <w:spacing w:after="0" w:line="480" w:lineRule="auto"/>
        <w:jc w:val="both"/>
        <w:rPr>
          <w:rFonts w:eastAsia="Times New Roman" w:cs="Arial"/>
          <w:color w:val="auto"/>
          <w:szCs w:val="22"/>
        </w:rPr>
      </w:pPr>
      <w:r>
        <w:rPr>
          <w:rFonts w:eastAsia="Times New Roman" w:cs="Arial"/>
          <w:color w:val="auto"/>
          <w:szCs w:val="22"/>
        </w:rPr>
        <w:tab/>
      </w:r>
      <w:r>
        <w:rPr>
          <w:rFonts w:eastAsia="Times New Roman" w:cs="Arial"/>
          <w:color w:val="auto"/>
          <w:szCs w:val="22"/>
        </w:rPr>
        <w:tab/>
      </w:r>
      <w:r>
        <w:rPr>
          <w:rFonts w:eastAsia="Times New Roman" w:cs="Arial"/>
          <w:color w:val="auto"/>
          <w:szCs w:val="22"/>
        </w:rPr>
        <w:tab/>
      </w:r>
      <w:r>
        <w:rPr>
          <w:rFonts w:eastAsia="Times New Roman" w:cs="Arial"/>
          <w:color w:val="auto"/>
          <w:szCs w:val="22"/>
        </w:rPr>
        <w:tab/>
        <w:t xml:space="preserve">      </w:t>
      </w:r>
      <w:r>
        <w:rPr>
          <w:rFonts w:eastAsia="Times New Roman" w:cs="Arial"/>
          <w:color w:val="auto"/>
          <w:szCs w:val="22"/>
        </w:rPr>
        <w:tab/>
      </w:r>
      <w:r>
        <w:rPr>
          <w:rFonts w:eastAsia="Times New Roman" w:cs="Arial"/>
          <w:color w:val="auto"/>
          <w:szCs w:val="22"/>
        </w:rPr>
        <w:tab/>
        <w:t xml:space="preserve">Absorbance of control </w:t>
      </w:r>
    </w:p>
    <w:p w14:paraId="34CC5035" w14:textId="77777777" w:rsidR="002C5D72" w:rsidRDefault="002C5D72">
      <w:pPr>
        <w:spacing w:after="0" w:line="480" w:lineRule="auto"/>
        <w:jc w:val="both"/>
        <w:rPr>
          <w:rFonts w:eastAsia="Times New Roman" w:cs="Arial"/>
          <w:color w:val="auto"/>
          <w:szCs w:val="22"/>
        </w:rPr>
      </w:pPr>
    </w:p>
    <w:p w14:paraId="1D2DCD89" w14:textId="77777777" w:rsidR="002C5D72" w:rsidRDefault="00000000">
      <w:pPr>
        <w:spacing w:after="0" w:line="360" w:lineRule="auto"/>
        <w:jc w:val="both"/>
        <w:rPr>
          <w:rFonts w:eastAsia="Times New Roman" w:cs="Arial"/>
          <w:i/>
          <w:iCs/>
          <w:color w:val="auto"/>
          <w:szCs w:val="22"/>
        </w:rPr>
      </w:pPr>
      <w:r>
        <w:rPr>
          <w:rFonts w:eastAsia="Times New Roman" w:cs="Arial"/>
          <w:i/>
          <w:iCs/>
          <w:color w:val="auto"/>
          <w:szCs w:val="22"/>
        </w:rPr>
        <w:t xml:space="preserve">Determination of antibiofilm activity of aqueous fraction </w:t>
      </w:r>
      <w:r>
        <w:rPr>
          <w:rFonts w:cs="Arial"/>
          <w:i/>
          <w:iCs/>
          <w:color w:val="auto"/>
          <w:szCs w:val="22"/>
        </w:rPr>
        <w:t xml:space="preserve">from stem-bark methanol extract of Parkia biglobosa </w:t>
      </w:r>
    </w:p>
    <w:p w14:paraId="0132B0CD" w14:textId="77777777" w:rsidR="002C5D72" w:rsidRDefault="00000000">
      <w:pPr>
        <w:spacing w:after="0" w:line="480" w:lineRule="auto"/>
        <w:jc w:val="both"/>
        <w:rPr>
          <w:rFonts w:cs="Arial"/>
          <w:color w:val="auto"/>
          <w:szCs w:val="22"/>
        </w:rPr>
      </w:pPr>
      <w:r>
        <w:rPr>
          <w:rFonts w:cs="Arial"/>
          <w:color w:val="auto"/>
          <w:szCs w:val="22"/>
        </w:rPr>
        <w:t>Antibiofilm activity of the aqueous fraction from stem-bark methanol extract of Parkia biglobosa was determined by a modification of the biofilm inhibition method. Biofilms were allowed to form as previously described in biofilm formation assay. Two hundred microlitres of TSB in 1% glucose was inoculated with 20</w:t>
      </w:r>
      <w:r>
        <w:rPr>
          <w:rFonts w:eastAsia="STIXGeneral-Regular" w:cs="Arial"/>
          <w:color w:val="auto"/>
          <w:szCs w:val="22"/>
        </w:rPr>
        <w:t>μ</w:t>
      </w:r>
      <w:r>
        <w:rPr>
          <w:rFonts w:cs="Arial"/>
          <w:color w:val="auto"/>
          <w:szCs w:val="22"/>
        </w:rPr>
        <w:t>l of standardized isolates in 96-well microtitre plates. The plates were incubated at 37</w:t>
      </w:r>
      <w:r>
        <w:rPr>
          <w:rFonts w:cs="Arial"/>
          <w:color w:val="auto"/>
          <w:szCs w:val="22"/>
          <w:vertAlign w:val="superscript"/>
        </w:rPr>
        <w:t>O</w:t>
      </w:r>
      <w:r>
        <w:rPr>
          <w:rFonts w:cs="Arial"/>
          <w:color w:val="auto"/>
          <w:szCs w:val="22"/>
        </w:rPr>
        <w:t>C for 24 hours to allow for formation of biofilms. After 24 hours, the plates were removed from the incubator and 20</w:t>
      </w:r>
      <w:r>
        <w:rPr>
          <w:rFonts w:eastAsia="STIXGeneral-Regular" w:cs="Arial"/>
          <w:color w:val="auto"/>
          <w:szCs w:val="22"/>
        </w:rPr>
        <w:t>μ</w:t>
      </w:r>
      <w:r>
        <w:rPr>
          <w:rFonts w:cs="Arial"/>
          <w:color w:val="auto"/>
          <w:szCs w:val="22"/>
        </w:rPr>
        <w:t xml:space="preserve">l of the extract containing sub-MIC, MIC and sub-MBC were introduced into each of the wells to determine the anti-adherent effect of the fraction on preformed biofilms. The plates were returned into the incubator for another 24 hours after which they were washed as previously described, dried and stained. Absorbance was read using the ELISA plate reader. Results were interpreted by comparing absorbance of test samples with that of TSB (control) and percentage antibiofilm activity determined (Olawuwo </w:t>
      </w:r>
      <w:r>
        <w:rPr>
          <w:rFonts w:cs="Arial"/>
          <w:i/>
          <w:iCs/>
          <w:color w:val="auto"/>
          <w:szCs w:val="22"/>
        </w:rPr>
        <w:t>et al</w:t>
      </w:r>
      <w:r>
        <w:rPr>
          <w:rFonts w:cs="Arial"/>
          <w:color w:val="auto"/>
          <w:szCs w:val="22"/>
        </w:rPr>
        <w:t xml:space="preserve">, 2022). </w:t>
      </w:r>
    </w:p>
    <w:p w14:paraId="10B56C83" w14:textId="77777777" w:rsidR="002C5D72" w:rsidRDefault="002C5D72">
      <w:pPr>
        <w:spacing w:after="0" w:line="480" w:lineRule="auto"/>
        <w:jc w:val="both"/>
        <w:rPr>
          <w:rFonts w:eastAsia="Times New Roman" w:cs="Arial"/>
          <w:color w:val="auto"/>
          <w:szCs w:val="22"/>
        </w:rPr>
      </w:pPr>
    </w:p>
    <w:p w14:paraId="1B108E5F" w14:textId="77777777" w:rsidR="002C5D72" w:rsidRDefault="00000000">
      <w:pPr>
        <w:spacing w:after="0" w:line="480" w:lineRule="auto"/>
        <w:jc w:val="both"/>
        <w:rPr>
          <w:b/>
          <w:bCs/>
        </w:rPr>
      </w:pPr>
      <w:r>
        <w:rPr>
          <w:b/>
          <w:bCs/>
        </w:rPr>
        <w:t>RESULTS</w:t>
      </w:r>
    </w:p>
    <w:p w14:paraId="65329B01" w14:textId="77777777" w:rsidR="002C5D72" w:rsidRDefault="00000000">
      <w:pPr>
        <w:spacing w:after="0" w:line="480" w:lineRule="auto"/>
        <w:jc w:val="both"/>
        <w:rPr>
          <w:szCs w:val="24"/>
        </w:rPr>
      </w:pPr>
      <w:r>
        <w:t xml:space="preserve">The fraction demonstrated concentration-dependent antibacterial activity as activity increased at higher concentration. Whereas </w:t>
      </w:r>
      <w:r>
        <w:rPr>
          <w:i/>
          <w:iCs/>
          <w:szCs w:val="24"/>
        </w:rPr>
        <w:t>Pseudomonas</w:t>
      </w:r>
      <w:r>
        <w:rPr>
          <w:szCs w:val="24"/>
        </w:rPr>
        <w:t xml:space="preserve"> spp. was the least susceptibility at the highest concentration used, </w:t>
      </w:r>
      <w:r>
        <w:rPr>
          <w:i/>
          <w:iCs/>
          <w:szCs w:val="24"/>
        </w:rPr>
        <w:t>E. coli</w:t>
      </w:r>
      <w:r>
        <w:rPr>
          <w:szCs w:val="24"/>
        </w:rPr>
        <w:t xml:space="preserve"> was least susceptible at the lowest concentration. </w:t>
      </w:r>
      <w:r>
        <w:rPr>
          <w:i/>
          <w:iCs/>
          <w:szCs w:val="24"/>
        </w:rPr>
        <w:t>Staphylococcus</w:t>
      </w:r>
      <w:r>
        <w:rPr>
          <w:szCs w:val="24"/>
        </w:rPr>
        <w:t xml:space="preserve">, </w:t>
      </w:r>
      <w:r>
        <w:rPr>
          <w:i/>
          <w:iCs/>
          <w:szCs w:val="24"/>
        </w:rPr>
        <w:lastRenderedPageBreak/>
        <w:t>Klebsiella</w:t>
      </w:r>
      <w:r>
        <w:rPr>
          <w:szCs w:val="24"/>
        </w:rPr>
        <w:t xml:space="preserve"> and </w:t>
      </w:r>
      <w:r>
        <w:rPr>
          <w:i/>
          <w:iCs/>
          <w:szCs w:val="24"/>
        </w:rPr>
        <w:t>Proteus</w:t>
      </w:r>
      <w:r>
        <w:rPr>
          <w:szCs w:val="24"/>
        </w:rPr>
        <w:t xml:space="preserve"> species showed similar susceptibilities as concentration increased (</w:t>
      </w:r>
      <w:r>
        <w:rPr>
          <w:b/>
          <w:bCs/>
          <w:szCs w:val="24"/>
        </w:rPr>
        <w:t>Table 1</w:t>
      </w:r>
      <w:r>
        <w:rPr>
          <w:szCs w:val="24"/>
        </w:rPr>
        <w:t>).</w:t>
      </w:r>
    </w:p>
    <w:p w14:paraId="6171584E" w14:textId="77777777" w:rsidR="002C5D72" w:rsidRDefault="00000000">
      <w:pPr>
        <w:spacing w:after="0" w:line="480" w:lineRule="auto"/>
        <w:jc w:val="both"/>
        <w:rPr>
          <w:szCs w:val="28"/>
        </w:rPr>
      </w:pPr>
      <w:r>
        <w:rPr>
          <w:szCs w:val="28"/>
        </w:rPr>
        <w:t xml:space="preserve">The minimum inhibitory concentration of the fraction against all the isolates tested indicated higher susceptibility of </w:t>
      </w:r>
      <w:r>
        <w:rPr>
          <w:i/>
          <w:iCs/>
          <w:szCs w:val="28"/>
        </w:rPr>
        <w:t>Proteus</w:t>
      </w:r>
      <w:r>
        <w:rPr>
          <w:szCs w:val="28"/>
        </w:rPr>
        <w:t xml:space="preserve"> and </w:t>
      </w:r>
      <w:r>
        <w:rPr>
          <w:i/>
          <w:iCs/>
          <w:szCs w:val="28"/>
        </w:rPr>
        <w:t>Klebsiella</w:t>
      </w:r>
      <w:r>
        <w:rPr>
          <w:szCs w:val="28"/>
        </w:rPr>
        <w:t xml:space="preserve"> species (3.125-6.25mg/ml), and least for </w:t>
      </w:r>
      <w:r>
        <w:rPr>
          <w:i/>
          <w:iCs/>
          <w:szCs w:val="28"/>
        </w:rPr>
        <w:t>Pseudomonas</w:t>
      </w:r>
      <w:r>
        <w:rPr>
          <w:szCs w:val="28"/>
        </w:rPr>
        <w:t xml:space="preserve"> and </w:t>
      </w:r>
      <w:r>
        <w:rPr>
          <w:i/>
          <w:iCs/>
          <w:szCs w:val="28"/>
        </w:rPr>
        <w:t xml:space="preserve">E. coli </w:t>
      </w:r>
      <w:r>
        <w:rPr>
          <w:szCs w:val="28"/>
        </w:rPr>
        <w:t xml:space="preserve">(12.5-25mg/ml and 6.25-12.5mg/ml respectively). Minimum bactericidal concentration was lowest for </w:t>
      </w:r>
      <w:r>
        <w:rPr>
          <w:i/>
          <w:iCs/>
          <w:szCs w:val="28"/>
        </w:rPr>
        <w:t>Staphylococcus</w:t>
      </w:r>
      <w:r>
        <w:rPr>
          <w:szCs w:val="28"/>
        </w:rPr>
        <w:t xml:space="preserve"> and </w:t>
      </w:r>
      <w:r>
        <w:rPr>
          <w:i/>
          <w:iCs/>
          <w:szCs w:val="28"/>
        </w:rPr>
        <w:t>Klebsiella</w:t>
      </w:r>
      <w:r>
        <w:rPr>
          <w:szCs w:val="28"/>
        </w:rPr>
        <w:t xml:space="preserve"> species (6.25-25mg/ml and 6.25-12.5mg/ml), and highest for </w:t>
      </w:r>
      <w:r>
        <w:rPr>
          <w:i/>
          <w:iCs/>
          <w:szCs w:val="28"/>
        </w:rPr>
        <w:t>Pseudomonas</w:t>
      </w:r>
      <w:r>
        <w:rPr>
          <w:szCs w:val="28"/>
        </w:rPr>
        <w:t xml:space="preserve"> species and</w:t>
      </w:r>
      <w:r>
        <w:rPr>
          <w:i/>
          <w:iCs/>
          <w:szCs w:val="28"/>
        </w:rPr>
        <w:t xml:space="preserve"> E. coli</w:t>
      </w:r>
      <w:r>
        <w:rPr>
          <w:szCs w:val="28"/>
        </w:rPr>
        <w:t xml:space="preserve"> (12.5-50mg/ml) [</w:t>
      </w:r>
      <w:r>
        <w:rPr>
          <w:b/>
          <w:bCs/>
          <w:szCs w:val="28"/>
        </w:rPr>
        <w:t>Table 2</w:t>
      </w:r>
      <w:r>
        <w:rPr>
          <w:szCs w:val="28"/>
        </w:rPr>
        <w:t>].</w:t>
      </w:r>
    </w:p>
    <w:p w14:paraId="54558FE3" w14:textId="77777777" w:rsidR="002C5D72" w:rsidRDefault="00000000">
      <w:pPr>
        <w:spacing w:after="0" w:line="480" w:lineRule="auto"/>
        <w:jc w:val="both"/>
        <w:rPr>
          <w:lang w:val="en-US"/>
        </w:rPr>
      </w:pPr>
      <w:r>
        <w:rPr>
          <w:szCs w:val="28"/>
        </w:rPr>
        <w:t xml:space="preserve">The fraction was observed to possess a strong biofilm inhibitory activity (76.4% ±6.3 for </w:t>
      </w:r>
      <w:r>
        <w:rPr>
          <w:i/>
          <w:iCs/>
          <w:szCs w:val="28"/>
        </w:rPr>
        <w:t>Staphylococcus</w:t>
      </w:r>
      <w:r>
        <w:rPr>
          <w:szCs w:val="28"/>
        </w:rPr>
        <w:t xml:space="preserve"> spp.) at concentrations below MIC  (6.25-12.5mg/ml) and up to </w:t>
      </w:r>
      <w:r>
        <w:rPr>
          <w:szCs w:val="24"/>
        </w:rPr>
        <w:t xml:space="preserve">80.4±3.1 to 81.3±3.0 </w:t>
      </w:r>
      <w:r>
        <w:rPr>
          <w:szCs w:val="28"/>
        </w:rPr>
        <w:t xml:space="preserve">for </w:t>
      </w:r>
      <w:r>
        <w:rPr>
          <w:i/>
          <w:iCs/>
          <w:szCs w:val="28"/>
        </w:rPr>
        <w:t>Proteus</w:t>
      </w:r>
      <w:r>
        <w:rPr>
          <w:szCs w:val="28"/>
        </w:rPr>
        <w:t xml:space="preserve">  </w:t>
      </w:r>
      <w:r>
        <w:rPr>
          <w:i/>
          <w:iCs/>
          <w:szCs w:val="28"/>
        </w:rPr>
        <w:t>and Klebsiella</w:t>
      </w:r>
      <w:r>
        <w:rPr>
          <w:szCs w:val="28"/>
        </w:rPr>
        <w:t xml:space="preserve"> species. at 3.125-6.25mg/ml (</w:t>
      </w:r>
      <w:r>
        <w:rPr>
          <w:b/>
          <w:bCs/>
          <w:szCs w:val="28"/>
        </w:rPr>
        <w:t>Table 3</w:t>
      </w:r>
      <w:r>
        <w:rPr>
          <w:szCs w:val="28"/>
        </w:rPr>
        <w:t xml:space="preserve">). The observed activity of the fraction against pre-formed biofilms is presented in </w:t>
      </w:r>
      <w:r>
        <w:rPr>
          <w:b/>
          <w:bCs/>
          <w:szCs w:val="28"/>
        </w:rPr>
        <w:t xml:space="preserve">Table 4 </w:t>
      </w:r>
      <w:r>
        <w:rPr>
          <w:szCs w:val="28"/>
        </w:rPr>
        <w:t xml:space="preserve"> indicating potent antibiofilm activity ranging from 73.6%</w:t>
      </w:r>
      <w:r>
        <w:rPr>
          <w:szCs w:val="24"/>
        </w:rPr>
        <w:t xml:space="preserve">±13.9 to 80.0%±4.4 </w:t>
      </w:r>
      <w:r>
        <w:rPr>
          <w:szCs w:val="28"/>
        </w:rPr>
        <w:t xml:space="preserve">against </w:t>
      </w:r>
      <w:r>
        <w:rPr>
          <w:i/>
          <w:iCs/>
          <w:szCs w:val="28"/>
        </w:rPr>
        <w:t xml:space="preserve">Klebsiella and Proteus </w:t>
      </w:r>
      <w:r>
        <w:rPr>
          <w:szCs w:val="28"/>
        </w:rPr>
        <w:t>species at concentrations below the MIC (1.56mg/ml) and 94.9%</w:t>
      </w:r>
      <w:r>
        <w:rPr>
          <w:szCs w:val="24"/>
        </w:rPr>
        <w:t>±2.3</w:t>
      </w:r>
      <w:r>
        <w:rPr>
          <w:szCs w:val="28"/>
        </w:rPr>
        <w:t xml:space="preserve"> to 96.7%</w:t>
      </w:r>
      <w:r>
        <w:rPr>
          <w:szCs w:val="24"/>
        </w:rPr>
        <w:t>±0.1</w:t>
      </w:r>
      <w:r>
        <w:rPr>
          <w:szCs w:val="28"/>
        </w:rPr>
        <w:t xml:space="preserve"> against </w:t>
      </w:r>
      <w:r>
        <w:rPr>
          <w:i/>
          <w:iCs/>
          <w:szCs w:val="24"/>
        </w:rPr>
        <w:t>E.coli</w:t>
      </w:r>
      <w:r>
        <w:rPr>
          <w:szCs w:val="24"/>
        </w:rPr>
        <w:t xml:space="preserve">, </w:t>
      </w:r>
      <w:r>
        <w:rPr>
          <w:i/>
          <w:iCs/>
          <w:szCs w:val="24"/>
        </w:rPr>
        <w:t>Proteus</w:t>
      </w:r>
      <w:r>
        <w:rPr>
          <w:szCs w:val="24"/>
        </w:rPr>
        <w:t xml:space="preserve"> and </w:t>
      </w:r>
      <w:r>
        <w:rPr>
          <w:i/>
          <w:iCs/>
          <w:szCs w:val="24"/>
        </w:rPr>
        <w:t>Pseudomonas</w:t>
      </w:r>
      <w:r>
        <w:rPr>
          <w:szCs w:val="24"/>
        </w:rPr>
        <w:t xml:space="preserve"> at sub-MBC concentration of 6.25mg/ml</w:t>
      </w:r>
      <w:r>
        <w:rPr>
          <w:szCs w:val="28"/>
        </w:rPr>
        <w:t xml:space="preserve">. Biofilm inhibition above 50% was regarded as good antibiofilm activity while 0-50% was considered as poor and less than 0% was no inhibition or enhancement of biofilm formation (Olawuwo </w:t>
      </w:r>
      <w:r>
        <w:rPr>
          <w:i/>
          <w:iCs/>
          <w:szCs w:val="28"/>
        </w:rPr>
        <w:t>et al</w:t>
      </w:r>
      <w:r>
        <w:rPr>
          <w:szCs w:val="28"/>
        </w:rPr>
        <w:t>., 2022).</w:t>
      </w:r>
    </w:p>
    <w:p w14:paraId="717DD25A" w14:textId="77777777" w:rsidR="002C5D72" w:rsidRDefault="002C5D72">
      <w:pPr>
        <w:spacing w:line="240" w:lineRule="auto"/>
      </w:pPr>
    </w:p>
    <w:p w14:paraId="02FBAD34" w14:textId="77777777" w:rsidR="002C5D72" w:rsidRDefault="002C5D72">
      <w:pPr>
        <w:spacing w:line="240" w:lineRule="auto"/>
      </w:pPr>
    </w:p>
    <w:p w14:paraId="0C304397" w14:textId="77777777" w:rsidR="002C5D72" w:rsidRDefault="002C5D72">
      <w:pPr>
        <w:spacing w:line="240" w:lineRule="auto"/>
      </w:pPr>
    </w:p>
    <w:p w14:paraId="329DA4F7" w14:textId="77777777" w:rsidR="002C5D72" w:rsidRDefault="002C5D72">
      <w:pPr>
        <w:spacing w:line="240" w:lineRule="auto"/>
      </w:pPr>
    </w:p>
    <w:p w14:paraId="64CE6F89" w14:textId="77777777" w:rsidR="002C5D72" w:rsidRDefault="002C5D72">
      <w:pPr>
        <w:spacing w:line="240" w:lineRule="auto"/>
      </w:pPr>
    </w:p>
    <w:p w14:paraId="5E99C73A" w14:textId="77777777" w:rsidR="002C5D72" w:rsidRDefault="002C5D72">
      <w:pPr>
        <w:spacing w:line="240" w:lineRule="auto"/>
      </w:pPr>
    </w:p>
    <w:p w14:paraId="4C7CE62B" w14:textId="77777777" w:rsidR="002C5D72" w:rsidRDefault="002C5D72">
      <w:pPr>
        <w:spacing w:line="240" w:lineRule="auto"/>
      </w:pPr>
    </w:p>
    <w:p w14:paraId="6E96E140" w14:textId="77777777" w:rsidR="002C5D72" w:rsidRDefault="00000000">
      <w:pPr>
        <w:spacing w:line="240" w:lineRule="auto"/>
        <w:rPr>
          <w:szCs w:val="24"/>
        </w:rPr>
      </w:pPr>
      <w:r>
        <w:lastRenderedPageBreak/>
        <w:t xml:space="preserve">Table 1. </w:t>
      </w:r>
      <w:r>
        <w:rPr>
          <w:szCs w:val="24"/>
        </w:rPr>
        <w:t xml:space="preserve">Antibacterial susceptibility patterns of aqueous fraction of </w:t>
      </w:r>
      <w:r>
        <w:rPr>
          <w:i/>
          <w:iCs/>
          <w:szCs w:val="24"/>
        </w:rPr>
        <w:t>Parkia biglobosa</w:t>
      </w:r>
      <w:r>
        <w:rPr>
          <w:szCs w:val="24"/>
        </w:rPr>
        <w:t xml:space="preserve"> methanol stem bark extract against isolates from chronic wounds from patients attending selected hospitals in Kaduna</w:t>
      </w:r>
    </w:p>
    <w:tbl>
      <w:tblPr>
        <w:tblW w:w="0" w:type="auto"/>
        <w:tblBorders>
          <w:top w:val="single" w:sz="4" w:space="0" w:color="auto"/>
          <w:bottom w:val="single" w:sz="4" w:space="0" w:color="auto"/>
        </w:tblBorders>
        <w:tblLook w:val="04A0" w:firstRow="1" w:lastRow="0" w:firstColumn="1" w:lastColumn="0" w:noHBand="0" w:noVBand="1"/>
      </w:tblPr>
      <w:tblGrid>
        <w:gridCol w:w="1696"/>
        <w:gridCol w:w="1810"/>
        <w:gridCol w:w="1138"/>
        <w:gridCol w:w="1326"/>
        <w:gridCol w:w="1489"/>
        <w:gridCol w:w="1807"/>
      </w:tblGrid>
      <w:tr w:rsidR="002C5D72" w14:paraId="744BFFBB" w14:textId="77777777">
        <w:tc>
          <w:tcPr>
            <w:tcW w:w="9266" w:type="dxa"/>
            <w:gridSpan w:val="6"/>
            <w:shd w:val="clear" w:color="auto" w:fill="auto"/>
          </w:tcPr>
          <w:p w14:paraId="2D4C4817" w14:textId="77777777" w:rsidR="002C5D72" w:rsidRDefault="00000000">
            <w:pPr>
              <w:spacing w:after="0" w:line="240" w:lineRule="auto"/>
              <w:rPr>
                <w:szCs w:val="24"/>
              </w:rPr>
            </w:pPr>
            <w:r>
              <w:rPr>
                <w:szCs w:val="24"/>
              </w:rPr>
              <w:t xml:space="preserve">                                                        </w:t>
            </w:r>
            <w:bookmarkStart w:id="13" w:name="_Hlk156304047"/>
            <w:r>
              <w:rPr>
                <w:szCs w:val="24"/>
              </w:rPr>
              <w:t>Zones of inhibition (mm) (mean± standard deviation)</w:t>
            </w:r>
          </w:p>
          <w:p w14:paraId="62766D4D" w14:textId="77777777" w:rsidR="002C5D72" w:rsidRDefault="002C5D72">
            <w:pPr>
              <w:spacing w:after="0" w:line="240" w:lineRule="auto"/>
              <w:rPr>
                <w:szCs w:val="24"/>
              </w:rPr>
            </w:pPr>
          </w:p>
        </w:tc>
      </w:tr>
      <w:tr w:rsidR="002C5D72" w14:paraId="1FD019B4" w14:textId="77777777">
        <w:tc>
          <w:tcPr>
            <w:tcW w:w="1696" w:type="dxa"/>
            <w:shd w:val="clear" w:color="auto" w:fill="auto"/>
          </w:tcPr>
          <w:p w14:paraId="229EA431" w14:textId="77777777" w:rsidR="002C5D72" w:rsidRDefault="00000000">
            <w:pPr>
              <w:spacing w:after="0" w:line="240" w:lineRule="auto"/>
              <w:rPr>
                <w:szCs w:val="24"/>
              </w:rPr>
            </w:pPr>
            <w:r>
              <w:rPr>
                <w:szCs w:val="24"/>
              </w:rPr>
              <w:t>Concentration of extract (mg/ml)</w:t>
            </w:r>
          </w:p>
          <w:p w14:paraId="3B0DBDFF" w14:textId="7A5302EF" w:rsidR="002C5D72" w:rsidRDefault="00B1744C">
            <w:pPr>
              <w:spacing w:after="0" w:line="240" w:lineRule="auto"/>
              <w:rPr>
                <w:b/>
                <w:bCs/>
                <w:szCs w:val="24"/>
              </w:rPr>
            </w:pPr>
            <w:r>
              <w:rPr>
                <w:rFonts w:cs="Arial"/>
                <w:noProof/>
                <w:szCs w:val="22"/>
              </w:rPr>
              <mc:AlternateContent>
                <mc:Choice Requires="wps">
                  <w:drawing>
                    <wp:anchor distT="0" distB="0" distL="0" distR="0" simplePos="0" relativeHeight="251656192" behindDoc="0" locked="0" layoutInCell="1" allowOverlap="1" wp14:anchorId="66B2AA74" wp14:editId="593C5342">
                      <wp:simplePos x="0" y="0"/>
                      <wp:positionH relativeFrom="column">
                        <wp:posOffset>-97155</wp:posOffset>
                      </wp:positionH>
                      <wp:positionV relativeFrom="paragraph">
                        <wp:posOffset>47625</wp:posOffset>
                      </wp:positionV>
                      <wp:extent cx="5715000" cy="9525"/>
                      <wp:effectExtent l="7620" t="5080" r="11430" b="13970"/>
                      <wp:wrapNone/>
                      <wp:docPr id="1626987040"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546FF1" id="1028" o:spid="_x0000_s1026" style="position:absolute;flip:y;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65pt,3.75pt" to="442.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" strokeweight=".5pt">
                      <v:stroke joinstyle="miter"/>
                    </v:line>
                  </w:pict>
                </mc:Fallback>
              </mc:AlternateContent>
            </w:r>
          </w:p>
        </w:tc>
        <w:tc>
          <w:tcPr>
            <w:tcW w:w="1810" w:type="dxa"/>
            <w:shd w:val="clear" w:color="auto" w:fill="auto"/>
          </w:tcPr>
          <w:p w14:paraId="193EC372" w14:textId="77777777" w:rsidR="002C5D72" w:rsidRDefault="00000000">
            <w:pPr>
              <w:spacing w:after="0" w:line="240" w:lineRule="auto"/>
              <w:rPr>
                <w:szCs w:val="24"/>
              </w:rPr>
            </w:pPr>
            <w:r>
              <w:rPr>
                <w:i/>
                <w:iCs/>
                <w:szCs w:val="24"/>
              </w:rPr>
              <w:t>Staphylococcus</w:t>
            </w:r>
            <w:r>
              <w:rPr>
                <w:szCs w:val="24"/>
              </w:rPr>
              <w:t>. spp. (n=102)</w:t>
            </w:r>
          </w:p>
          <w:p w14:paraId="17DC9DCB" w14:textId="77777777" w:rsidR="002C5D72" w:rsidRDefault="002C5D72">
            <w:pPr>
              <w:spacing w:after="0" w:line="240" w:lineRule="auto"/>
              <w:rPr>
                <w:szCs w:val="24"/>
              </w:rPr>
            </w:pPr>
          </w:p>
        </w:tc>
        <w:tc>
          <w:tcPr>
            <w:tcW w:w="1138" w:type="dxa"/>
            <w:shd w:val="clear" w:color="auto" w:fill="auto"/>
          </w:tcPr>
          <w:p w14:paraId="059E4320" w14:textId="77777777" w:rsidR="002C5D72" w:rsidRDefault="00000000">
            <w:pPr>
              <w:spacing w:after="0" w:line="240" w:lineRule="auto"/>
              <w:rPr>
                <w:szCs w:val="24"/>
              </w:rPr>
            </w:pPr>
            <w:r>
              <w:rPr>
                <w:i/>
                <w:iCs/>
                <w:szCs w:val="24"/>
              </w:rPr>
              <w:t>E. coli</w:t>
            </w:r>
            <w:r>
              <w:rPr>
                <w:szCs w:val="24"/>
              </w:rPr>
              <w:t xml:space="preserve"> (n=24)</w:t>
            </w:r>
          </w:p>
        </w:tc>
        <w:tc>
          <w:tcPr>
            <w:tcW w:w="1326" w:type="dxa"/>
            <w:shd w:val="clear" w:color="auto" w:fill="auto"/>
          </w:tcPr>
          <w:p w14:paraId="2381D5F4" w14:textId="77777777" w:rsidR="002C5D72" w:rsidRDefault="00000000">
            <w:pPr>
              <w:spacing w:after="0" w:line="240" w:lineRule="auto"/>
              <w:rPr>
                <w:szCs w:val="24"/>
              </w:rPr>
            </w:pPr>
            <w:r>
              <w:rPr>
                <w:i/>
                <w:iCs/>
                <w:szCs w:val="24"/>
              </w:rPr>
              <w:t>Klebsiella</w:t>
            </w:r>
            <w:r>
              <w:rPr>
                <w:szCs w:val="24"/>
              </w:rPr>
              <w:t xml:space="preserve"> spp. (n=10)</w:t>
            </w:r>
          </w:p>
        </w:tc>
        <w:tc>
          <w:tcPr>
            <w:tcW w:w="1489" w:type="dxa"/>
            <w:shd w:val="clear" w:color="auto" w:fill="auto"/>
          </w:tcPr>
          <w:p w14:paraId="46F9B560" w14:textId="77777777" w:rsidR="002C5D72" w:rsidRDefault="00000000">
            <w:pPr>
              <w:spacing w:after="0" w:line="240" w:lineRule="auto"/>
              <w:rPr>
                <w:szCs w:val="24"/>
              </w:rPr>
            </w:pPr>
            <w:r>
              <w:rPr>
                <w:i/>
                <w:iCs/>
                <w:szCs w:val="24"/>
              </w:rPr>
              <w:t>Proteus</w:t>
            </w:r>
            <w:r>
              <w:rPr>
                <w:szCs w:val="24"/>
              </w:rPr>
              <w:t xml:space="preserve"> spp. (n=22)</w:t>
            </w:r>
          </w:p>
        </w:tc>
        <w:tc>
          <w:tcPr>
            <w:tcW w:w="1807" w:type="dxa"/>
            <w:shd w:val="clear" w:color="auto" w:fill="auto"/>
          </w:tcPr>
          <w:p w14:paraId="74B00581" w14:textId="77777777" w:rsidR="002C5D72" w:rsidRDefault="00000000">
            <w:pPr>
              <w:spacing w:after="0" w:line="240" w:lineRule="auto"/>
              <w:rPr>
                <w:szCs w:val="24"/>
              </w:rPr>
            </w:pPr>
            <w:r>
              <w:rPr>
                <w:i/>
                <w:iCs/>
                <w:szCs w:val="24"/>
              </w:rPr>
              <w:t>Pseudomonas</w:t>
            </w:r>
            <w:r>
              <w:rPr>
                <w:szCs w:val="24"/>
              </w:rPr>
              <w:t xml:space="preserve"> spp. (n=10)</w:t>
            </w:r>
          </w:p>
        </w:tc>
      </w:tr>
      <w:tr w:rsidR="002C5D72" w14:paraId="085477AC" w14:textId="77777777">
        <w:tc>
          <w:tcPr>
            <w:tcW w:w="1696" w:type="dxa"/>
            <w:shd w:val="clear" w:color="auto" w:fill="auto"/>
          </w:tcPr>
          <w:p w14:paraId="0D76E157" w14:textId="77777777" w:rsidR="002C5D72" w:rsidRDefault="00000000">
            <w:pPr>
              <w:rPr>
                <w:b/>
                <w:bCs/>
                <w:szCs w:val="24"/>
              </w:rPr>
            </w:pPr>
            <w:r>
              <w:rPr>
                <w:b/>
                <w:bCs/>
                <w:szCs w:val="24"/>
              </w:rPr>
              <w:t>6.25</w:t>
            </w:r>
          </w:p>
        </w:tc>
        <w:tc>
          <w:tcPr>
            <w:tcW w:w="1810" w:type="dxa"/>
            <w:shd w:val="clear" w:color="auto" w:fill="auto"/>
          </w:tcPr>
          <w:p w14:paraId="24AF7D01" w14:textId="77777777" w:rsidR="002C5D72" w:rsidRDefault="00000000">
            <w:pPr>
              <w:rPr>
                <w:szCs w:val="24"/>
              </w:rPr>
            </w:pPr>
            <w:r>
              <w:rPr>
                <w:szCs w:val="24"/>
              </w:rPr>
              <w:t>7.9±2.7</w:t>
            </w:r>
          </w:p>
        </w:tc>
        <w:tc>
          <w:tcPr>
            <w:tcW w:w="1138" w:type="dxa"/>
            <w:shd w:val="clear" w:color="auto" w:fill="auto"/>
          </w:tcPr>
          <w:p w14:paraId="7B5B6441" w14:textId="77777777" w:rsidR="002C5D72" w:rsidRDefault="00000000">
            <w:pPr>
              <w:rPr>
                <w:szCs w:val="24"/>
              </w:rPr>
            </w:pPr>
            <w:r>
              <w:rPr>
                <w:szCs w:val="24"/>
              </w:rPr>
              <w:t>6.2±1.1</w:t>
            </w:r>
          </w:p>
        </w:tc>
        <w:tc>
          <w:tcPr>
            <w:tcW w:w="1326" w:type="dxa"/>
            <w:shd w:val="clear" w:color="auto" w:fill="auto"/>
          </w:tcPr>
          <w:p w14:paraId="7C220A18" w14:textId="77777777" w:rsidR="002C5D72" w:rsidRDefault="00000000">
            <w:pPr>
              <w:rPr>
                <w:szCs w:val="24"/>
              </w:rPr>
            </w:pPr>
            <w:r>
              <w:rPr>
                <w:szCs w:val="24"/>
              </w:rPr>
              <w:t>8.0±2.9</w:t>
            </w:r>
          </w:p>
        </w:tc>
        <w:tc>
          <w:tcPr>
            <w:tcW w:w="1489" w:type="dxa"/>
            <w:shd w:val="clear" w:color="auto" w:fill="auto"/>
          </w:tcPr>
          <w:p w14:paraId="40EA3DEB" w14:textId="77777777" w:rsidR="002C5D72" w:rsidRDefault="00000000">
            <w:pPr>
              <w:rPr>
                <w:szCs w:val="24"/>
              </w:rPr>
            </w:pPr>
            <w:r>
              <w:rPr>
                <w:szCs w:val="24"/>
              </w:rPr>
              <w:t>7.6±2.5</w:t>
            </w:r>
          </w:p>
        </w:tc>
        <w:tc>
          <w:tcPr>
            <w:tcW w:w="1807" w:type="dxa"/>
            <w:shd w:val="clear" w:color="auto" w:fill="auto"/>
          </w:tcPr>
          <w:p w14:paraId="75563C4E" w14:textId="77777777" w:rsidR="002C5D72" w:rsidRDefault="00000000">
            <w:pPr>
              <w:rPr>
                <w:szCs w:val="24"/>
              </w:rPr>
            </w:pPr>
            <w:r>
              <w:rPr>
                <w:szCs w:val="24"/>
              </w:rPr>
              <w:t>6.3±0.7</w:t>
            </w:r>
          </w:p>
        </w:tc>
      </w:tr>
      <w:tr w:rsidR="002C5D72" w14:paraId="617B932E" w14:textId="77777777">
        <w:tc>
          <w:tcPr>
            <w:tcW w:w="1696" w:type="dxa"/>
            <w:shd w:val="clear" w:color="auto" w:fill="auto"/>
          </w:tcPr>
          <w:p w14:paraId="2B7FB45D" w14:textId="77777777" w:rsidR="002C5D72" w:rsidRDefault="00000000">
            <w:pPr>
              <w:rPr>
                <w:b/>
                <w:bCs/>
                <w:szCs w:val="24"/>
              </w:rPr>
            </w:pPr>
            <w:r>
              <w:rPr>
                <w:b/>
                <w:bCs/>
                <w:szCs w:val="24"/>
              </w:rPr>
              <w:t>12.5</w:t>
            </w:r>
          </w:p>
        </w:tc>
        <w:tc>
          <w:tcPr>
            <w:tcW w:w="1810" w:type="dxa"/>
            <w:shd w:val="clear" w:color="auto" w:fill="auto"/>
          </w:tcPr>
          <w:p w14:paraId="5D371412" w14:textId="77777777" w:rsidR="002C5D72" w:rsidRDefault="00000000">
            <w:pPr>
              <w:rPr>
                <w:szCs w:val="24"/>
              </w:rPr>
            </w:pPr>
            <w:r>
              <w:rPr>
                <w:szCs w:val="24"/>
              </w:rPr>
              <w:t>9.4±3.5</w:t>
            </w:r>
          </w:p>
        </w:tc>
        <w:tc>
          <w:tcPr>
            <w:tcW w:w="1138" w:type="dxa"/>
            <w:shd w:val="clear" w:color="auto" w:fill="auto"/>
          </w:tcPr>
          <w:p w14:paraId="2509F0E6" w14:textId="77777777" w:rsidR="002C5D72" w:rsidRDefault="00000000">
            <w:pPr>
              <w:rPr>
                <w:szCs w:val="24"/>
              </w:rPr>
            </w:pPr>
            <w:r>
              <w:rPr>
                <w:szCs w:val="24"/>
              </w:rPr>
              <w:t>6.8±2.1</w:t>
            </w:r>
          </w:p>
        </w:tc>
        <w:tc>
          <w:tcPr>
            <w:tcW w:w="1326" w:type="dxa"/>
            <w:shd w:val="clear" w:color="auto" w:fill="auto"/>
          </w:tcPr>
          <w:p w14:paraId="096B72C9" w14:textId="77777777" w:rsidR="002C5D72" w:rsidRDefault="00000000">
            <w:pPr>
              <w:rPr>
                <w:szCs w:val="24"/>
              </w:rPr>
            </w:pPr>
            <w:r>
              <w:rPr>
                <w:szCs w:val="24"/>
              </w:rPr>
              <w:t>9.7±2.6</w:t>
            </w:r>
          </w:p>
        </w:tc>
        <w:tc>
          <w:tcPr>
            <w:tcW w:w="1489" w:type="dxa"/>
            <w:shd w:val="clear" w:color="auto" w:fill="auto"/>
          </w:tcPr>
          <w:p w14:paraId="7A1F4A94" w14:textId="77777777" w:rsidR="002C5D72" w:rsidRDefault="00000000">
            <w:pPr>
              <w:rPr>
                <w:szCs w:val="24"/>
              </w:rPr>
            </w:pPr>
            <w:r>
              <w:rPr>
                <w:szCs w:val="24"/>
              </w:rPr>
              <w:t>8.9±2.9</w:t>
            </w:r>
          </w:p>
        </w:tc>
        <w:tc>
          <w:tcPr>
            <w:tcW w:w="1807" w:type="dxa"/>
            <w:shd w:val="clear" w:color="auto" w:fill="auto"/>
          </w:tcPr>
          <w:p w14:paraId="1D7D0D7F" w14:textId="77777777" w:rsidR="002C5D72" w:rsidRDefault="00000000">
            <w:pPr>
              <w:rPr>
                <w:szCs w:val="24"/>
              </w:rPr>
            </w:pPr>
            <w:r>
              <w:rPr>
                <w:szCs w:val="24"/>
              </w:rPr>
              <w:t>6.5±1.3</w:t>
            </w:r>
          </w:p>
        </w:tc>
      </w:tr>
      <w:tr w:rsidR="002C5D72" w14:paraId="74CF33CC" w14:textId="77777777">
        <w:tc>
          <w:tcPr>
            <w:tcW w:w="1696" w:type="dxa"/>
            <w:shd w:val="clear" w:color="auto" w:fill="auto"/>
          </w:tcPr>
          <w:p w14:paraId="5CCA47F1" w14:textId="77777777" w:rsidR="002C5D72" w:rsidRDefault="00000000">
            <w:pPr>
              <w:rPr>
                <w:b/>
                <w:bCs/>
                <w:szCs w:val="24"/>
              </w:rPr>
            </w:pPr>
            <w:r>
              <w:rPr>
                <w:b/>
                <w:bCs/>
                <w:szCs w:val="24"/>
              </w:rPr>
              <w:t>25.0</w:t>
            </w:r>
          </w:p>
        </w:tc>
        <w:tc>
          <w:tcPr>
            <w:tcW w:w="1810" w:type="dxa"/>
            <w:shd w:val="clear" w:color="auto" w:fill="auto"/>
          </w:tcPr>
          <w:p w14:paraId="5736C888" w14:textId="77777777" w:rsidR="002C5D72" w:rsidRDefault="00000000">
            <w:pPr>
              <w:rPr>
                <w:szCs w:val="24"/>
              </w:rPr>
            </w:pPr>
            <w:r>
              <w:rPr>
                <w:szCs w:val="24"/>
              </w:rPr>
              <w:t>11.0±4.1</w:t>
            </w:r>
          </w:p>
        </w:tc>
        <w:tc>
          <w:tcPr>
            <w:tcW w:w="1138" w:type="dxa"/>
            <w:shd w:val="clear" w:color="auto" w:fill="auto"/>
          </w:tcPr>
          <w:p w14:paraId="6BB7FD65" w14:textId="77777777" w:rsidR="002C5D72" w:rsidRDefault="00000000">
            <w:pPr>
              <w:rPr>
                <w:szCs w:val="24"/>
              </w:rPr>
            </w:pPr>
            <w:r>
              <w:rPr>
                <w:szCs w:val="24"/>
              </w:rPr>
              <w:t>7.3±2.4</w:t>
            </w:r>
          </w:p>
        </w:tc>
        <w:tc>
          <w:tcPr>
            <w:tcW w:w="1326" w:type="dxa"/>
            <w:shd w:val="clear" w:color="auto" w:fill="auto"/>
          </w:tcPr>
          <w:p w14:paraId="0C80EC6D" w14:textId="77777777" w:rsidR="002C5D72" w:rsidRDefault="00000000">
            <w:pPr>
              <w:rPr>
                <w:szCs w:val="24"/>
              </w:rPr>
            </w:pPr>
            <w:r>
              <w:rPr>
                <w:szCs w:val="24"/>
              </w:rPr>
              <w:t>11.4±2.6</w:t>
            </w:r>
          </w:p>
        </w:tc>
        <w:tc>
          <w:tcPr>
            <w:tcW w:w="1489" w:type="dxa"/>
            <w:shd w:val="clear" w:color="auto" w:fill="auto"/>
          </w:tcPr>
          <w:p w14:paraId="48FAD841" w14:textId="77777777" w:rsidR="002C5D72" w:rsidRDefault="00000000">
            <w:pPr>
              <w:rPr>
                <w:szCs w:val="24"/>
              </w:rPr>
            </w:pPr>
            <w:r>
              <w:rPr>
                <w:szCs w:val="24"/>
              </w:rPr>
              <w:t>10.7±2.9</w:t>
            </w:r>
          </w:p>
        </w:tc>
        <w:tc>
          <w:tcPr>
            <w:tcW w:w="1807" w:type="dxa"/>
            <w:shd w:val="clear" w:color="auto" w:fill="auto"/>
          </w:tcPr>
          <w:p w14:paraId="5A471A77" w14:textId="77777777" w:rsidR="002C5D72" w:rsidRDefault="00000000">
            <w:pPr>
              <w:rPr>
                <w:szCs w:val="24"/>
              </w:rPr>
            </w:pPr>
            <w:r>
              <w:rPr>
                <w:szCs w:val="24"/>
              </w:rPr>
              <w:t>7.8±1.9</w:t>
            </w:r>
          </w:p>
        </w:tc>
      </w:tr>
      <w:tr w:rsidR="002C5D72" w14:paraId="127150A9" w14:textId="77777777">
        <w:tc>
          <w:tcPr>
            <w:tcW w:w="1696" w:type="dxa"/>
            <w:shd w:val="clear" w:color="auto" w:fill="auto"/>
          </w:tcPr>
          <w:p w14:paraId="4C0320E1" w14:textId="77777777" w:rsidR="002C5D72" w:rsidRDefault="00000000">
            <w:pPr>
              <w:rPr>
                <w:b/>
                <w:bCs/>
                <w:szCs w:val="24"/>
              </w:rPr>
            </w:pPr>
            <w:r>
              <w:rPr>
                <w:b/>
                <w:bCs/>
                <w:szCs w:val="24"/>
              </w:rPr>
              <w:t>50.0</w:t>
            </w:r>
          </w:p>
        </w:tc>
        <w:tc>
          <w:tcPr>
            <w:tcW w:w="1810" w:type="dxa"/>
            <w:shd w:val="clear" w:color="auto" w:fill="auto"/>
          </w:tcPr>
          <w:p w14:paraId="2F1136AC" w14:textId="77777777" w:rsidR="002C5D72" w:rsidRDefault="00000000">
            <w:pPr>
              <w:rPr>
                <w:szCs w:val="24"/>
              </w:rPr>
            </w:pPr>
            <w:r>
              <w:rPr>
                <w:szCs w:val="24"/>
              </w:rPr>
              <w:t>13.7±4.4</w:t>
            </w:r>
          </w:p>
        </w:tc>
        <w:tc>
          <w:tcPr>
            <w:tcW w:w="1138" w:type="dxa"/>
            <w:shd w:val="clear" w:color="auto" w:fill="auto"/>
          </w:tcPr>
          <w:p w14:paraId="426B43A5" w14:textId="77777777" w:rsidR="002C5D72" w:rsidRDefault="00000000">
            <w:pPr>
              <w:rPr>
                <w:szCs w:val="24"/>
              </w:rPr>
            </w:pPr>
            <w:r>
              <w:rPr>
                <w:szCs w:val="24"/>
              </w:rPr>
              <w:t>9.5±2.6</w:t>
            </w:r>
          </w:p>
        </w:tc>
        <w:tc>
          <w:tcPr>
            <w:tcW w:w="1326" w:type="dxa"/>
            <w:shd w:val="clear" w:color="auto" w:fill="auto"/>
          </w:tcPr>
          <w:p w14:paraId="280EDEA5" w14:textId="77777777" w:rsidR="002C5D72" w:rsidRDefault="00000000">
            <w:pPr>
              <w:rPr>
                <w:szCs w:val="24"/>
              </w:rPr>
            </w:pPr>
            <w:r>
              <w:rPr>
                <w:szCs w:val="24"/>
              </w:rPr>
              <w:t>13.6±1.8</w:t>
            </w:r>
          </w:p>
        </w:tc>
        <w:tc>
          <w:tcPr>
            <w:tcW w:w="1489" w:type="dxa"/>
            <w:shd w:val="clear" w:color="auto" w:fill="auto"/>
          </w:tcPr>
          <w:p w14:paraId="5D802147" w14:textId="77777777" w:rsidR="002C5D72" w:rsidRDefault="00000000">
            <w:pPr>
              <w:rPr>
                <w:szCs w:val="24"/>
              </w:rPr>
            </w:pPr>
            <w:r>
              <w:rPr>
                <w:szCs w:val="24"/>
              </w:rPr>
              <w:t>12.7±2.5</w:t>
            </w:r>
          </w:p>
        </w:tc>
        <w:tc>
          <w:tcPr>
            <w:tcW w:w="1807" w:type="dxa"/>
            <w:shd w:val="clear" w:color="auto" w:fill="auto"/>
          </w:tcPr>
          <w:p w14:paraId="1789899F" w14:textId="77777777" w:rsidR="002C5D72" w:rsidRDefault="00000000">
            <w:pPr>
              <w:rPr>
                <w:szCs w:val="24"/>
              </w:rPr>
            </w:pPr>
            <w:r>
              <w:rPr>
                <w:szCs w:val="24"/>
              </w:rPr>
              <w:t>9.2±2.5</w:t>
            </w:r>
          </w:p>
        </w:tc>
      </w:tr>
      <w:tr w:rsidR="002C5D72" w14:paraId="072B6C14" w14:textId="77777777">
        <w:tc>
          <w:tcPr>
            <w:tcW w:w="1696" w:type="dxa"/>
            <w:shd w:val="clear" w:color="auto" w:fill="auto"/>
          </w:tcPr>
          <w:p w14:paraId="20302A34" w14:textId="77777777" w:rsidR="002C5D72" w:rsidRDefault="00000000">
            <w:pPr>
              <w:rPr>
                <w:b/>
                <w:bCs/>
                <w:szCs w:val="24"/>
              </w:rPr>
            </w:pPr>
            <w:r>
              <w:rPr>
                <w:b/>
                <w:bCs/>
                <w:szCs w:val="24"/>
              </w:rPr>
              <w:t>100.0</w:t>
            </w:r>
          </w:p>
        </w:tc>
        <w:tc>
          <w:tcPr>
            <w:tcW w:w="1810" w:type="dxa"/>
            <w:shd w:val="clear" w:color="auto" w:fill="auto"/>
          </w:tcPr>
          <w:p w14:paraId="72CFD951" w14:textId="77777777" w:rsidR="002C5D72" w:rsidRDefault="00000000">
            <w:pPr>
              <w:rPr>
                <w:szCs w:val="24"/>
              </w:rPr>
            </w:pPr>
            <w:r>
              <w:rPr>
                <w:szCs w:val="24"/>
              </w:rPr>
              <w:t>16.2±4.4</w:t>
            </w:r>
          </w:p>
        </w:tc>
        <w:tc>
          <w:tcPr>
            <w:tcW w:w="1138" w:type="dxa"/>
            <w:shd w:val="clear" w:color="auto" w:fill="auto"/>
          </w:tcPr>
          <w:p w14:paraId="2AD0DCC2" w14:textId="77777777" w:rsidR="002C5D72" w:rsidRDefault="00000000">
            <w:pPr>
              <w:rPr>
                <w:szCs w:val="24"/>
              </w:rPr>
            </w:pPr>
            <w:r>
              <w:rPr>
                <w:szCs w:val="24"/>
              </w:rPr>
              <w:t>12.7±2.5</w:t>
            </w:r>
          </w:p>
        </w:tc>
        <w:tc>
          <w:tcPr>
            <w:tcW w:w="1326" w:type="dxa"/>
            <w:shd w:val="clear" w:color="auto" w:fill="auto"/>
          </w:tcPr>
          <w:p w14:paraId="29B1BA59" w14:textId="77777777" w:rsidR="002C5D72" w:rsidRDefault="00000000">
            <w:pPr>
              <w:rPr>
                <w:szCs w:val="24"/>
              </w:rPr>
            </w:pPr>
            <w:r>
              <w:rPr>
                <w:szCs w:val="24"/>
              </w:rPr>
              <w:t>16.6±2.3</w:t>
            </w:r>
          </w:p>
        </w:tc>
        <w:tc>
          <w:tcPr>
            <w:tcW w:w="1489" w:type="dxa"/>
            <w:shd w:val="clear" w:color="auto" w:fill="auto"/>
          </w:tcPr>
          <w:p w14:paraId="2246A0D5" w14:textId="77777777" w:rsidR="002C5D72" w:rsidRDefault="00000000">
            <w:pPr>
              <w:rPr>
                <w:szCs w:val="24"/>
              </w:rPr>
            </w:pPr>
            <w:r>
              <w:rPr>
                <w:szCs w:val="24"/>
              </w:rPr>
              <w:t>15.8±3.4</w:t>
            </w:r>
          </w:p>
        </w:tc>
        <w:tc>
          <w:tcPr>
            <w:tcW w:w="1807" w:type="dxa"/>
            <w:shd w:val="clear" w:color="auto" w:fill="auto"/>
          </w:tcPr>
          <w:p w14:paraId="0A94BD36" w14:textId="77777777" w:rsidR="002C5D72" w:rsidRDefault="00000000">
            <w:pPr>
              <w:rPr>
                <w:szCs w:val="24"/>
              </w:rPr>
            </w:pPr>
            <w:r>
              <w:rPr>
                <w:szCs w:val="24"/>
              </w:rPr>
              <w:t>12.9±2.0</w:t>
            </w:r>
          </w:p>
        </w:tc>
      </w:tr>
      <w:tr w:rsidR="002C5D72" w14:paraId="5DC6E2FD" w14:textId="77777777">
        <w:tc>
          <w:tcPr>
            <w:tcW w:w="1696" w:type="dxa"/>
            <w:shd w:val="clear" w:color="auto" w:fill="auto"/>
          </w:tcPr>
          <w:p w14:paraId="27DDFC3B" w14:textId="77777777" w:rsidR="002C5D72" w:rsidRDefault="00000000">
            <w:pPr>
              <w:rPr>
                <w:b/>
                <w:bCs/>
                <w:szCs w:val="24"/>
              </w:rPr>
            </w:pPr>
            <w:r>
              <w:rPr>
                <w:b/>
                <w:bCs/>
                <w:szCs w:val="24"/>
              </w:rPr>
              <w:t>200.0</w:t>
            </w:r>
          </w:p>
        </w:tc>
        <w:tc>
          <w:tcPr>
            <w:tcW w:w="1810" w:type="dxa"/>
            <w:shd w:val="clear" w:color="auto" w:fill="auto"/>
          </w:tcPr>
          <w:p w14:paraId="0A22296C" w14:textId="77777777" w:rsidR="002C5D72" w:rsidRDefault="00000000">
            <w:pPr>
              <w:rPr>
                <w:szCs w:val="24"/>
              </w:rPr>
            </w:pPr>
            <w:r>
              <w:rPr>
                <w:szCs w:val="24"/>
              </w:rPr>
              <w:t>19.3±5.3</w:t>
            </w:r>
          </w:p>
        </w:tc>
        <w:tc>
          <w:tcPr>
            <w:tcW w:w="1138" w:type="dxa"/>
            <w:shd w:val="clear" w:color="auto" w:fill="auto"/>
          </w:tcPr>
          <w:p w14:paraId="5B9BBA5F" w14:textId="77777777" w:rsidR="002C5D72" w:rsidRDefault="00000000">
            <w:pPr>
              <w:rPr>
                <w:szCs w:val="24"/>
              </w:rPr>
            </w:pPr>
            <w:r>
              <w:rPr>
                <w:szCs w:val="24"/>
              </w:rPr>
              <w:t>17.4±3.4</w:t>
            </w:r>
          </w:p>
        </w:tc>
        <w:tc>
          <w:tcPr>
            <w:tcW w:w="1326" w:type="dxa"/>
            <w:shd w:val="clear" w:color="auto" w:fill="auto"/>
          </w:tcPr>
          <w:p w14:paraId="0049B9D0" w14:textId="77777777" w:rsidR="002C5D72" w:rsidRDefault="00000000">
            <w:pPr>
              <w:rPr>
                <w:szCs w:val="24"/>
              </w:rPr>
            </w:pPr>
            <w:r>
              <w:rPr>
                <w:szCs w:val="24"/>
              </w:rPr>
              <w:t>19.2±2.6</w:t>
            </w:r>
          </w:p>
        </w:tc>
        <w:tc>
          <w:tcPr>
            <w:tcW w:w="1489" w:type="dxa"/>
            <w:shd w:val="clear" w:color="auto" w:fill="auto"/>
          </w:tcPr>
          <w:p w14:paraId="276A183C" w14:textId="77777777" w:rsidR="002C5D72" w:rsidRDefault="00000000">
            <w:pPr>
              <w:rPr>
                <w:szCs w:val="24"/>
              </w:rPr>
            </w:pPr>
            <w:r>
              <w:rPr>
                <w:szCs w:val="24"/>
              </w:rPr>
              <w:t>19.3±3.7</w:t>
            </w:r>
          </w:p>
        </w:tc>
        <w:tc>
          <w:tcPr>
            <w:tcW w:w="1807" w:type="dxa"/>
            <w:shd w:val="clear" w:color="auto" w:fill="auto"/>
          </w:tcPr>
          <w:p w14:paraId="2C308E11" w14:textId="77777777" w:rsidR="002C5D72" w:rsidRDefault="00000000">
            <w:pPr>
              <w:rPr>
                <w:szCs w:val="24"/>
              </w:rPr>
            </w:pPr>
            <w:r>
              <w:rPr>
                <w:szCs w:val="24"/>
              </w:rPr>
              <w:t>15.7±2.8</w:t>
            </w:r>
          </w:p>
        </w:tc>
      </w:tr>
      <w:tr w:rsidR="002C5D72" w14:paraId="5725050B" w14:textId="77777777">
        <w:tc>
          <w:tcPr>
            <w:tcW w:w="1696" w:type="dxa"/>
            <w:shd w:val="clear" w:color="auto" w:fill="auto"/>
          </w:tcPr>
          <w:p w14:paraId="31FEE252" w14:textId="77777777" w:rsidR="002C5D72" w:rsidRDefault="00000000">
            <w:pPr>
              <w:rPr>
                <w:b/>
                <w:bCs/>
                <w:szCs w:val="24"/>
              </w:rPr>
            </w:pPr>
            <w:r>
              <w:rPr>
                <w:b/>
                <w:bCs/>
                <w:szCs w:val="24"/>
              </w:rPr>
              <w:t>CN (10μg)</w:t>
            </w:r>
          </w:p>
          <w:p w14:paraId="1A3D3889" w14:textId="77777777" w:rsidR="002C5D72" w:rsidRDefault="00000000">
            <w:pPr>
              <w:jc w:val="both"/>
              <w:rPr>
                <w:b/>
                <w:bCs/>
                <w:szCs w:val="24"/>
              </w:rPr>
            </w:pPr>
            <w:r>
              <w:rPr>
                <w:b/>
                <w:bCs/>
                <w:szCs w:val="24"/>
              </w:rPr>
              <w:t>CIP (5μg)</w:t>
            </w:r>
          </w:p>
        </w:tc>
        <w:tc>
          <w:tcPr>
            <w:tcW w:w="1810" w:type="dxa"/>
            <w:shd w:val="clear" w:color="auto" w:fill="auto"/>
          </w:tcPr>
          <w:p w14:paraId="39AEA3F4" w14:textId="77777777" w:rsidR="002C5D72" w:rsidRDefault="00000000">
            <w:pPr>
              <w:rPr>
                <w:szCs w:val="24"/>
              </w:rPr>
            </w:pPr>
            <w:r>
              <w:rPr>
                <w:szCs w:val="24"/>
              </w:rPr>
              <w:t xml:space="preserve">9.7±2.2 </w:t>
            </w:r>
          </w:p>
          <w:p w14:paraId="7BD4ACB7" w14:textId="77777777" w:rsidR="002C5D72" w:rsidRDefault="00000000">
            <w:pPr>
              <w:rPr>
                <w:szCs w:val="24"/>
              </w:rPr>
            </w:pPr>
            <w:r>
              <w:rPr>
                <w:szCs w:val="24"/>
              </w:rPr>
              <w:t>19.0±5.5</w:t>
            </w:r>
          </w:p>
        </w:tc>
        <w:tc>
          <w:tcPr>
            <w:tcW w:w="1138" w:type="dxa"/>
            <w:shd w:val="clear" w:color="auto" w:fill="auto"/>
          </w:tcPr>
          <w:p w14:paraId="28F2E9F5" w14:textId="77777777" w:rsidR="002C5D72" w:rsidRDefault="00000000">
            <w:pPr>
              <w:rPr>
                <w:szCs w:val="24"/>
              </w:rPr>
            </w:pPr>
            <w:r>
              <w:rPr>
                <w:szCs w:val="24"/>
              </w:rPr>
              <w:t>11.1±3.6</w:t>
            </w:r>
          </w:p>
          <w:p w14:paraId="0A06310D" w14:textId="77777777" w:rsidR="002C5D72" w:rsidRDefault="00000000">
            <w:r>
              <w:t>13.9±3.3</w:t>
            </w:r>
          </w:p>
        </w:tc>
        <w:tc>
          <w:tcPr>
            <w:tcW w:w="1326" w:type="dxa"/>
            <w:shd w:val="clear" w:color="auto" w:fill="auto"/>
          </w:tcPr>
          <w:p w14:paraId="2A94796B" w14:textId="77777777" w:rsidR="002C5D72" w:rsidRDefault="00000000">
            <w:pPr>
              <w:rPr>
                <w:szCs w:val="24"/>
              </w:rPr>
            </w:pPr>
            <w:r>
              <w:rPr>
                <w:szCs w:val="24"/>
              </w:rPr>
              <w:t xml:space="preserve">6.7±1.4 </w:t>
            </w:r>
          </w:p>
          <w:p w14:paraId="1D02D278" w14:textId="77777777" w:rsidR="002C5D72" w:rsidRDefault="00000000">
            <w:pPr>
              <w:rPr>
                <w:szCs w:val="24"/>
              </w:rPr>
            </w:pPr>
            <w:r>
              <w:rPr>
                <w:szCs w:val="24"/>
              </w:rPr>
              <w:t>11.3±2.7</w:t>
            </w:r>
          </w:p>
        </w:tc>
        <w:tc>
          <w:tcPr>
            <w:tcW w:w="1489" w:type="dxa"/>
            <w:shd w:val="clear" w:color="auto" w:fill="auto"/>
          </w:tcPr>
          <w:p w14:paraId="1050FBD8" w14:textId="77777777" w:rsidR="002C5D72" w:rsidRDefault="00000000">
            <w:pPr>
              <w:rPr>
                <w:szCs w:val="24"/>
              </w:rPr>
            </w:pPr>
            <w:r>
              <w:rPr>
                <w:szCs w:val="24"/>
              </w:rPr>
              <w:t xml:space="preserve">13.2±2.3   </w:t>
            </w:r>
          </w:p>
          <w:p w14:paraId="0DDA546E" w14:textId="77777777" w:rsidR="002C5D72" w:rsidRDefault="00000000">
            <w:pPr>
              <w:rPr>
                <w:szCs w:val="24"/>
              </w:rPr>
            </w:pPr>
            <w:r>
              <w:rPr>
                <w:szCs w:val="24"/>
              </w:rPr>
              <w:t xml:space="preserve">14.0±3.6      </w:t>
            </w:r>
          </w:p>
        </w:tc>
        <w:tc>
          <w:tcPr>
            <w:tcW w:w="1807" w:type="dxa"/>
            <w:shd w:val="clear" w:color="auto" w:fill="auto"/>
          </w:tcPr>
          <w:p w14:paraId="0BE5B3F7" w14:textId="77777777" w:rsidR="002C5D72" w:rsidRDefault="00000000">
            <w:pPr>
              <w:rPr>
                <w:szCs w:val="24"/>
              </w:rPr>
            </w:pPr>
            <w:r>
              <w:rPr>
                <w:szCs w:val="24"/>
              </w:rPr>
              <w:t xml:space="preserve">13.0±2.5 </w:t>
            </w:r>
          </w:p>
          <w:p w14:paraId="0635C075" w14:textId="77777777" w:rsidR="002C5D72" w:rsidRDefault="00000000">
            <w:pPr>
              <w:rPr>
                <w:szCs w:val="24"/>
              </w:rPr>
            </w:pPr>
            <w:r>
              <w:rPr>
                <w:szCs w:val="24"/>
              </w:rPr>
              <w:t>15.3±4.5</w:t>
            </w:r>
          </w:p>
        </w:tc>
      </w:tr>
    </w:tbl>
    <w:bookmarkEnd w:id="13"/>
    <w:p w14:paraId="423F6E35" w14:textId="77777777" w:rsidR="002C5D72" w:rsidRDefault="00000000">
      <w:pPr>
        <w:rPr>
          <w:lang w:val="en-US"/>
        </w:rPr>
      </w:pPr>
      <w:r>
        <w:rPr>
          <w:lang w:val="en-US"/>
        </w:rPr>
        <w:t xml:space="preserve"> CN: Gentamicin</w:t>
      </w:r>
      <w:r>
        <w:rPr>
          <w:lang w:val="en-US"/>
        </w:rPr>
        <w:tab/>
        <w:t>CIP: Ciprofloxacin</w:t>
      </w:r>
    </w:p>
    <w:p w14:paraId="1673C0B9" w14:textId="77777777" w:rsidR="002C5D72" w:rsidRDefault="002C5D72">
      <w:pPr>
        <w:rPr>
          <w:lang w:val="en-US"/>
        </w:rPr>
      </w:pPr>
    </w:p>
    <w:p w14:paraId="71B52809" w14:textId="77777777" w:rsidR="002C5D72" w:rsidRDefault="002C5D72">
      <w:pPr>
        <w:rPr>
          <w:lang w:val="en-US"/>
        </w:rPr>
      </w:pPr>
    </w:p>
    <w:p w14:paraId="4DCDCF44" w14:textId="77777777" w:rsidR="002C5D72" w:rsidRDefault="002C5D72">
      <w:pPr>
        <w:spacing w:line="240" w:lineRule="auto"/>
        <w:jc w:val="both"/>
        <w:rPr>
          <w:szCs w:val="28"/>
        </w:rPr>
      </w:pPr>
    </w:p>
    <w:p w14:paraId="6B95300D" w14:textId="77777777" w:rsidR="002C5D72" w:rsidRDefault="002C5D72">
      <w:pPr>
        <w:spacing w:line="240" w:lineRule="auto"/>
        <w:jc w:val="both"/>
        <w:rPr>
          <w:szCs w:val="28"/>
        </w:rPr>
      </w:pPr>
    </w:p>
    <w:p w14:paraId="55616672" w14:textId="77777777" w:rsidR="002C5D72" w:rsidRDefault="002C5D72">
      <w:pPr>
        <w:spacing w:line="240" w:lineRule="auto"/>
        <w:jc w:val="both"/>
        <w:rPr>
          <w:szCs w:val="28"/>
        </w:rPr>
      </w:pPr>
    </w:p>
    <w:p w14:paraId="14A409D8" w14:textId="77777777" w:rsidR="002C5D72" w:rsidRDefault="002C5D72">
      <w:pPr>
        <w:spacing w:line="240" w:lineRule="auto"/>
        <w:jc w:val="both"/>
        <w:rPr>
          <w:szCs w:val="28"/>
        </w:rPr>
      </w:pPr>
    </w:p>
    <w:p w14:paraId="741A628E" w14:textId="77777777" w:rsidR="002C5D72" w:rsidRDefault="002C5D72">
      <w:pPr>
        <w:spacing w:line="240" w:lineRule="auto"/>
        <w:jc w:val="both"/>
        <w:rPr>
          <w:szCs w:val="28"/>
        </w:rPr>
      </w:pPr>
    </w:p>
    <w:p w14:paraId="3343DF8B" w14:textId="77777777" w:rsidR="002C5D72" w:rsidRDefault="002C5D72">
      <w:pPr>
        <w:spacing w:line="240" w:lineRule="auto"/>
        <w:jc w:val="both"/>
        <w:rPr>
          <w:szCs w:val="28"/>
        </w:rPr>
      </w:pPr>
    </w:p>
    <w:p w14:paraId="4DE39802" w14:textId="77777777" w:rsidR="002C5D72" w:rsidRDefault="002C5D72">
      <w:pPr>
        <w:spacing w:line="240" w:lineRule="auto"/>
        <w:jc w:val="both"/>
        <w:rPr>
          <w:szCs w:val="28"/>
        </w:rPr>
      </w:pPr>
    </w:p>
    <w:p w14:paraId="2F4B6DA1" w14:textId="77777777" w:rsidR="002C5D72" w:rsidRDefault="002C5D72">
      <w:pPr>
        <w:spacing w:line="240" w:lineRule="auto"/>
        <w:jc w:val="both"/>
        <w:rPr>
          <w:szCs w:val="28"/>
        </w:rPr>
      </w:pPr>
    </w:p>
    <w:p w14:paraId="7BB9785A" w14:textId="77777777" w:rsidR="002C5D72" w:rsidRDefault="002C5D72">
      <w:pPr>
        <w:spacing w:line="240" w:lineRule="auto"/>
        <w:jc w:val="both"/>
        <w:rPr>
          <w:szCs w:val="28"/>
        </w:rPr>
      </w:pPr>
    </w:p>
    <w:p w14:paraId="154AFDBF" w14:textId="77777777" w:rsidR="002C5D72" w:rsidRDefault="002C5D72">
      <w:pPr>
        <w:spacing w:line="240" w:lineRule="auto"/>
        <w:jc w:val="both"/>
        <w:rPr>
          <w:szCs w:val="28"/>
        </w:rPr>
      </w:pPr>
    </w:p>
    <w:p w14:paraId="78F55556" w14:textId="77777777" w:rsidR="002C5D72" w:rsidRDefault="002C5D72">
      <w:pPr>
        <w:spacing w:line="240" w:lineRule="auto"/>
        <w:jc w:val="both"/>
        <w:rPr>
          <w:szCs w:val="28"/>
        </w:rPr>
      </w:pPr>
    </w:p>
    <w:p w14:paraId="76D7B2FC" w14:textId="77777777" w:rsidR="002C5D72" w:rsidRDefault="00000000">
      <w:pPr>
        <w:spacing w:line="240" w:lineRule="auto"/>
        <w:jc w:val="both"/>
        <w:rPr>
          <w:szCs w:val="28"/>
        </w:rPr>
      </w:pPr>
      <w:r>
        <w:rPr>
          <w:szCs w:val="28"/>
        </w:rPr>
        <w:lastRenderedPageBreak/>
        <w:t xml:space="preserve">Table 2. Minimum inhibitory concentration (MIC) and Minimum bactericidal concentration (MBC) of the aqueous fraction from stem-bark methanol extract of </w:t>
      </w:r>
      <w:r>
        <w:rPr>
          <w:i/>
          <w:iCs/>
          <w:szCs w:val="28"/>
        </w:rPr>
        <w:t>Parkia biglobosa</w:t>
      </w:r>
      <w:r>
        <w:rPr>
          <w:szCs w:val="28"/>
        </w:rPr>
        <w:t xml:space="preserve"> against chronic wound pathogens in Kaduna, Nigeria</w:t>
      </w:r>
    </w:p>
    <w:tbl>
      <w:tblPr>
        <w:tblW w:w="0" w:type="auto"/>
        <w:tblBorders>
          <w:top w:val="single" w:sz="12" w:space="0" w:color="auto"/>
          <w:bottom w:val="single" w:sz="12" w:space="0" w:color="auto"/>
        </w:tblBorders>
        <w:tblLook w:val="04A0" w:firstRow="1" w:lastRow="0" w:firstColumn="1" w:lastColumn="0" w:noHBand="0" w:noVBand="1"/>
      </w:tblPr>
      <w:tblGrid>
        <w:gridCol w:w="3110"/>
        <w:gridCol w:w="3110"/>
        <w:gridCol w:w="3110"/>
      </w:tblGrid>
      <w:tr w:rsidR="002C5D72" w14:paraId="5E4353AC" w14:textId="77777777">
        <w:tc>
          <w:tcPr>
            <w:tcW w:w="9330" w:type="dxa"/>
            <w:gridSpan w:val="3"/>
            <w:shd w:val="clear" w:color="auto" w:fill="auto"/>
          </w:tcPr>
          <w:p w14:paraId="4BFA595E" w14:textId="77777777" w:rsidR="002C5D72" w:rsidRDefault="00000000">
            <w:pPr>
              <w:rPr>
                <w:b/>
                <w:bCs/>
                <w:szCs w:val="24"/>
              </w:rPr>
            </w:pPr>
            <w:bookmarkStart w:id="14" w:name="_Hlk156305207"/>
            <w:r>
              <w:rPr>
                <w:b/>
                <w:bCs/>
                <w:szCs w:val="24"/>
              </w:rPr>
              <w:t>Isolates</w:t>
            </w:r>
          </w:p>
        </w:tc>
      </w:tr>
      <w:tr w:rsidR="002C5D72" w14:paraId="4185B7FB" w14:textId="77777777">
        <w:tc>
          <w:tcPr>
            <w:tcW w:w="3110" w:type="dxa"/>
            <w:shd w:val="clear" w:color="auto" w:fill="auto"/>
          </w:tcPr>
          <w:p w14:paraId="57EDD63C" w14:textId="79A2ED8E" w:rsidR="002C5D72" w:rsidRDefault="00B1744C">
            <w:pPr>
              <w:rPr>
                <w:szCs w:val="24"/>
              </w:rPr>
            </w:pPr>
            <w:r>
              <w:rPr>
                <w:noProof/>
                <w:szCs w:val="24"/>
              </w:rPr>
              <mc:AlternateContent>
                <mc:Choice Requires="wps">
                  <w:drawing>
                    <wp:anchor distT="0" distB="0" distL="0" distR="0" simplePos="0" relativeHeight="251657216" behindDoc="0" locked="0" layoutInCell="1" allowOverlap="1" wp14:anchorId="6F420EB0" wp14:editId="7C08D366">
                      <wp:simplePos x="0" y="0"/>
                      <wp:positionH relativeFrom="column">
                        <wp:posOffset>38100</wp:posOffset>
                      </wp:positionH>
                      <wp:positionV relativeFrom="paragraph">
                        <wp:posOffset>281940</wp:posOffset>
                      </wp:positionV>
                      <wp:extent cx="5600700" cy="38100"/>
                      <wp:effectExtent l="9525" t="9525" r="9525" b="9525"/>
                      <wp:wrapNone/>
                      <wp:docPr id="95057303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1C240" id="1029" o:spid="_x0000_s1026" type="#_x0000_t32" style="position:absolute;margin-left:3pt;margin-top:22.2pt;width:441pt;height:3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"/>
                  </w:pict>
                </mc:Fallback>
              </mc:AlternateContent>
            </w:r>
          </w:p>
          <w:p w14:paraId="5A409316" w14:textId="77777777" w:rsidR="002C5D72" w:rsidRDefault="002C5D72">
            <w:pPr>
              <w:rPr>
                <w:b/>
                <w:bCs/>
                <w:szCs w:val="24"/>
              </w:rPr>
            </w:pPr>
          </w:p>
        </w:tc>
        <w:tc>
          <w:tcPr>
            <w:tcW w:w="3110" w:type="dxa"/>
            <w:shd w:val="clear" w:color="auto" w:fill="auto"/>
          </w:tcPr>
          <w:p w14:paraId="7A57A448" w14:textId="77777777" w:rsidR="002C5D72" w:rsidRDefault="00000000">
            <w:pPr>
              <w:rPr>
                <w:b/>
                <w:bCs/>
                <w:szCs w:val="24"/>
              </w:rPr>
            </w:pPr>
            <w:r>
              <w:rPr>
                <w:b/>
                <w:bCs/>
                <w:szCs w:val="24"/>
              </w:rPr>
              <w:t>MIC (mg/ml)</w:t>
            </w:r>
          </w:p>
          <w:p w14:paraId="0F465093" w14:textId="77777777" w:rsidR="002C5D72" w:rsidRDefault="002C5D72">
            <w:pPr>
              <w:rPr>
                <w:b/>
                <w:bCs/>
                <w:szCs w:val="24"/>
              </w:rPr>
            </w:pPr>
          </w:p>
        </w:tc>
        <w:tc>
          <w:tcPr>
            <w:tcW w:w="3110" w:type="dxa"/>
            <w:shd w:val="clear" w:color="auto" w:fill="auto"/>
          </w:tcPr>
          <w:p w14:paraId="178DD8F8" w14:textId="77777777" w:rsidR="002C5D72" w:rsidRDefault="00000000">
            <w:pPr>
              <w:rPr>
                <w:b/>
                <w:bCs/>
                <w:szCs w:val="24"/>
              </w:rPr>
            </w:pPr>
            <w:r>
              <w:rPr>
                <w:b/>
                <w:bCs/>
                <w:szCs w:val="24"/>
              </w:rPr>
              <w:t>MBC (mg/ml)</w:t>
            </w:r>
          </w:p>
          <w:p w14:paraId="37C95319" w14:textId="77777777" w:rsidR="002C5D72" w:rsidRDefault="002C5D72">
            <w:pPr>
              <w:rPr>
                <w:b/>
                <w:bCs/>
                <w:szCs w:val="24"/>
              </w:rPr>
            </w:pPr>
          </w:p>
        </w:tc>
      </w:tr>
      <w:tr w:rsidR="002C5D72" w14:paraId="43A4C542" w14:textId="77777777">
        <w:tc>
          <w:tcPr>
            <w:tcW w:w="3110" w:type="dxa"/>
            <w:shd w:val="clear" w:color="auto" w:fill="auto"/>
          </w:tcPr>
          <w:p w14:paraId="41EFE01D" w14:textId="77777777" w:rsidR="002C5D72" w:rsidRDefault="00000000">
            <w:pPr>
              <w:rPr>
                <w:szCs w:val="24"/>
              </w:rPr>
            </w:pPr>
            <w:r>
              <w:rPr>
                <w:i/>
                <w:iCs/>
                <w:szCs w:val="24"/>
              </w:rPr>
              <w:t>Staphylococcus</w:t>
            </w:r>
            <w:r>
              <w:rPr>
                <w:szCs w:val="24"/>
              </w:rPr>
              <w:t>. spp.</w:t>
            </w:r>
          </w:p>
        </w:tc>
        <w:tc>
          <w:tcPr>
            <w:tcW w:w="3110" w:type="dxa"/>
            <w:shd w:val="clear" w:color="auto" w:fill="auto"/>
          </w:tcPr>
          <w:p w14:paraId="2A75A0C3" w14:textId="77777777" w:rsidR="002C5D72" w:rsidRDefault="00000000">
            <w:pPr>
              <w:rPr>
                <w:szCs w:val="24"/>
              </w:rPr>
            </w:pPr>
            <w:r>
              <w:rPr>
                <w:szCs w:val="24"/>
              </w:rPr>
              <w:t>6.25-12.5</w:t>
            </w:r>
          </w:p>
        </w:tc>
        <w:tc>
          <w:tcPr>
            <w:tcW w:w="3110" w:type="dxa"/>
            <w:shd w:val="clear" w:color="auto" w:fill="auto"/>
          </w:tcPr>
          <w:p w14:paraId="7DA525B6" w14:textId="77777777" w:rsidR="002C5D72" w:rsidRDefault="00000000">
            <w:pPr>
              <w:rPr>
                <w:szCs w:val="24"/>
              </w:rPr>
            </w:pPr>
            <w:r>
              <w:rPr>
                <w:szCs w:val="24"/>
              </w:rPr>
              <w:t>6.25-25.0</w:t>
            </w:r>
          </w:p>
        </w:tc>
      </w:tr>
      <w:tr w:rsidR="002C5D72" w14:paraId="36F8C17B" w14:textId="77777777">
        <w:tc>
          <w:tcPr>
            <w:tcW w:w="3110" w:type="dxa"/>
            <w:shd w:val="clear" w:color="auto" w:fill="auto"/>
          </w:tcPr>
          <w:p w14:paraId="23303E7C" w14:textId="77777777" w:rsidR="002C5D72" w:rsidRDefault="00000000">
            <w:pPr>
              <w:rPr>
                <w:i/>
                <w:iCs/>
                <w:szCs w:val="24"/>
              </w:rPr>
            </w:pPr>
            <w:r>
              <w:rPr>
                <w:i/>
                <w:iCs/>
                <w:szCs w:val="24"/>
              </w:rPr>
              <w:t>Escherichia coli</w:t>
            </w:r>
          </w:p>
        </w:tc>
        <w:tc>
          <w:tcPr>
            <w:tcW w:w="3110" w:type="dxa"/>
            <w:shd w:val="clear" w:color="auto" w:fill="auto"/>
          </w:tcPr>
          <w:p w14:paraId="0CD9D5CB" w14:textId="77777777" w:rsidR="002C5D72" w:rsidRDefault="00000000">
            <w:pPr>
              <w:rPr>
                <w:szCs w:val="24"/>
              </w:rPr>
            </w:pPr>
            <w:r>
              <w:rPr>
                <w:szCs w:val="24"/>
              </w:rPr>
              <w:t>12.5-25.0</w:t>
            </w:r>
          </w:p>
        </w:tc>
        <w:tc>
          <w:tcPr>
            <w:tcW w:w="3110" w:type="dxa"/>
            <w:shd w:val="clear" w:color="auto" w:fill="auto"/>
          </w:tcPr>
          <w:p w14:paraId="1BEB8FCF" w14:textId="77777777" w:rsidR="002C5D72" w:rsidRDefault="00000000">
            <w:pPr>
              <w:rPr>
                <w:szCs w:val="24"/>
              </w:rPr>
            </w:pPr>
            <w:r>
              <w:rPr>
                <w:szCs w:val="24"/>
              </w:rPr>
              <w:t>12.5-50.0</w:t>
            </w:r>
          </w:p>
        </w:tc>
      </w:tr>
      <w:tr w:rsidR="002C5D72" w14:paraId="1B5FF0B4" w14:textId="77777777">
        <w:tc>
          <w:tcPr>
            <w:tcW w:w="3110" w:type="dxa"/>
            <w:shd w:val="clear" w:color="auto" w:fill="auto"/>
          </w:tcPr>
          <w:p w14:paraId="002357E4" w14:textId="77777777" w:rsidR="002C5D72" w:rsidRDefault="00000000">
            <w:pPr>
              <w:rPr>
                <w:szCs w:val="24"/>
              </w:rPr>
            </w:pPr>
            <w:r>
              <w:rPr>
                <w:i/>
                <w:iCs/>
                <w:szCs w:val="24"/>
              </w:rPr>
              <w:t>Proteus</w:t>
            </w:r>
            <w:r>
              <w:rPr>
                <w:szCs w:val="24"/>
              </w:rPr>
              <w:t xml:space="preserve"> spp.</w:t>
            </w:r>
          </w:p>
        </w:tc>
        <w:tc>
          <w:tcPr>
            <w:tcW w:w="3110" w:type="dxa"/>
            <w:shd w:val="clear" w:color="auto" w:fill="auto"/>
          </w:tcPr>
          <w:p w14:paraId="66EF6EE3" w14:textId="77777777" w:rsidR="002C5D72" w:rsidRDefault="00000000">
            <w:pPr>
              <w:rPr>
                <w:szCs w:val="24"/>
              </w:rPr>
            </w:pPr>
            <w:r>
              <w:rPr>
                <w:szCs w:val="24"/>
              </w:rPr>
              <w:t>3.125-6.25</w:t>
            </w:r>
          </w:p>
        </w:tc>
        <w:tc>
          <w:tcPr>
            <w:tcW w:w="3110" w:type="dxa"/>
            <w:shd w:val="clear" w:color="auto" w:fill="auto"/>
          </w:tcPr>
          <w:p w14:paraId="0A7DE8FD" w14:textId="77777777" w:rsidR="002C5D72" w:rsidRDefault="00000000">
            <w:pPr>
              <w:rPr>
                <w:szCs w:val="24"/>
              </w:rPr>
            </w:pPr>
            <w:r>
              <w:rPr>
                <w:szCs w:val="24"/>
              </w:rPr>
              <w:t>12.5-50.0</w:t>
            </w:r>
          </w:p>
        </w:tc>
      </w:tr>
      <w:tr w:rsidR="002C5D72" w14:paraId="1DA8723E" w14:textId="77777777">
        <w:tc>
          <w:tcPr>
            <w:tcW w:w="3110" w:type="dxa"/>
            <w:shd w:val="clear" w:color="auto" w:fill="auto"/>
          </w:tcPr>
          <w:p w14:paraId="4AA1E51C" w14:textId="77777777" w:rsidR="002C5D72" w:rsidRDefault="00000000">
            <w:pPr>
              <w:rPr>
                <w:szCs w:val="24"/>
              </w:rPr>
            </w:pPr>
            <w:r>
              <w:rPr>
                <w:i/>
                <w:iCs/>
                <w:szCs w:val="24"/>
              </w:rPr>
              <w:t>Klebsiella</w:t>
            </w:r>
            <w:r>
              <w:rPr>
                <w:szCs w:val="24"/>
              </w:rPr>
              <w:t xml:space="preserve"> spp.</w:t>
            </w:r>
          </w:p>
        </w:tc>
        <w:tc>
          <w:tcPr>
            <w:tcW w:w="3110" w:type="dxa"/>
            <w:shd w:val="clear" w:color="auto" w:fill="auto"/>
          </w:tcPr>
          <w:p w14:paraId="3FDF3418" w14:textId="77777777" w:rsidR="002C5D72" w:rsidRDefault="00000000">
            <w:pPr>
              <w:rPr>
                <w:szCs w:val="24"/>
              </w:rPr>
            </w:pPr>
            <w:r>
              <w:rPr>
                <w:szCs w:val="24"/>
              </w:rPr>
              <w:t>3.125-6.25</w:t>
            </w:r>
          </w:p>
        </w:tc>
        <w:tc>
          <w:tcPr>
            <w:tcW w:w="3110" w:type="dxa"/>
            <w:shd w:val="clear" w:color="auto" w:fill="auto"/>
          </w:tcPr>
          <w:p w14:paraId="70DE5D26" w14:textId="77777777" w:rsidR="002C5D72" w:rsidRDefault="00000000">
            <w:pPr>
              <w:rPr>
                <w:szCs w:val="24"/>
              </w:rPr>
            </w:pPr>
            <w:r>
              <w:rPr>
                <w:szCs w:val="24"/>
              </w:rPr>
              <w:t>6.25-12.5</w:t>
            </w:r>
          </w:p>
        </w:tc>
      </w:tr>
      <w:tr w:rsidR="002C5D72" w14:paraId="30B4BBA4" w14:textId="77777777">
        <w:tc>
          <w:tcPr>
            <w:tcW w:w="3110" w:type="dxa"/>
            <w:shd w:val="clear" w:color="auto" w:fill="auto"/>
          </w:tcPr>
          <w:p w14:paraId="62337CAD" w14:textId="77777777" w:rsidR="002C5D72" w:rsidRDefault="00000000">
            <w:pPr>
              <w:rPr>
                <w:szCs w:val="24"/>
              </w:rPr>
            </w:pPr>
            <w:r>
              <w:rPr>
                <w:i/>
                <w:iCs/>
                <w:szCs w:val="24"/>
              </w:rPr>
              <w:t>Pseudomonas</w:t>
            </w:r>
            <w:r>
              <w:rPr>
                <w:szCs w:val="24"/>
              </w:rPr>
              <w:t xml:space="preserve"> spp.</w:t>
            </w:r>
          </w:p>
        </w:tc>
        <w:tc>
          <w:tcPr>
            <w:tcW w:w="3110" w:type="dxa"/>
            <w:shd w:val="clear" w:color="auto" w:fill="auto"/>
          </w:tcPr>
          <w:p w14:paraId="6C42F5FA" w14:textId="77777777" w:rsidR="002C5D72" w:rsidRDefault="00000000">
            <w:pPr>
              <w:rPr>
                <w:szCs w:val="24"/>
              </w:rPr>
            </w:pPr>
            <w:r>
              <w:rPr>
                <w:szCs w:val="24"/>
              </w:rPr>
              <w:t>6.25-12.5</w:t>
            </w:r>
          </w:p>
        </w:tc>
        <w:tc>
          <w:tcPr>
            <w:tcW w:w="3110" w:type="dxa"/>
            <w:shd w:val="clear" w:color="auto" w:fill="auto"/>
          </w:tcPr>
          <w:p w14:paraId="5FE35EB2" w14:textId="77777777" w:rsidR="002C5D72" w:rsidRDefault="00000000">
            <w:pPr>
              <w:rPr>
                <w:szCs w:val="24"/>
              </w:rPr>
            </w:pPr>
            <w:r>
              <w:rPr>
                <w:szCs w:val="24"/>
              </w:rPr>
              <w:t>12.5-50.0</w:t>
            </w:r>
          </w:p>
        </w:tc>
      </w:tr>
      <w:bookmarkEnd w:id="14"/>
    </w:tbl>
    <w:p w14:paraId="208F486A" w14:textId="77777777" w:rsidR="002C5D72" w:rsidRDefault="002C5D72">
      <w:pPr>
        <w:rPr>
          <w:lang w:val="en-US"/>
        </w:rPr>
      </w:pPr>
    </w:p>
    <w:p w14:paraId="33D9C913" w14:textId="77777777" w:rsidR="002C5D72" w:rsidRDefault="002C5D72">
      <w:pPr>
        <w:rPr>
          <w:lang w:val="en-US"/>
        </w:rPr>
      </w:pPr>
    </w:p>
    <w:p w14:paraId="4503AB14" w14:textId="77777777" w:rsidR="002C5D72" w:rsidRDefault="002C5D72">
      <w:pPr>
        <w:rPr>
          <w:lang w:val="en-US"/>
        </w:rPr>
      </w:pPr>
    </w:p>
    <w:p w14:paraId="38C6FB8D" w14:textId="77777777" w:rsidR="002C5D72" w:rsidRDefault="002C5D72">
      <w:pPr>
        <w:rPr>
          <w:lang w:val="en-US"/>
        </w:rPr>
      </w:pPr>
    </w:p>
    <w:p w14:paraId="44AD2F88" w14:textId="77777777" w:rsidR="002C5D72" w:rsidRDefault="002C5D72">
      <w:pPr>
        <w:rPr>
          <w:lang w:val="en-US"/>
        </w:rPr>
      </w:pPr>
    </w:p>
    <w:p w14:paraId="4305500B" w14:textId="77777777" w:rsidR="002C5D72" w:rsidRDefault="002C5D72">
      <w:pPr>
        <w:rPr>
          <w:lang w:val="en-US"/>
        </w:rPr>
      </w:pPr>
    </w:p>
    <w:p w14:paraId="3DDC9575" w14:textId="77777777" w:rsidR="002C5D72" w:rsidRDefault="002C5D72">
      <w:pPr>
        <w:rPr>
          <w:lang w:val="en-US"/>
        </w:rPr>
      </w:pPr>
    </w:p>
    <w:p w14:paraId="525E6CB7" w14:textId="77777777" w:rsidR="002C5D72" w:rsidRDefault="002C5D72">
      <w:pPr>
        <w:rPr>
          <w:lang w:val="en-US"/>
        </w:rPr>
      </w:pPr>
    </w:p>
    <w:p w14:paraId="0B7D7FB3" w14:textId="77777777" w:rsidR="002C5D72" w:rsidRDefault="002C5D72">
      <w:pPr>
        <w:rPr>
          <w:lang w:val="en-US"/>
        </w:rPr>
      </w:pPr>
    </w:p>
    <w:p w14:paraId="6898B9FC" w14:textId="77777777" w:rsidR="002C5D72" w:rsidRDefault="002C5D72">
      <w:pPr>
        <w:rPr>
          <w:lang w:val="en-US"/>
        </w:rPr>
      </w:pPr>
    </w:p>
    <w:p w14:paraId="4623EF15" w14:textId="77777777" w:rsidR="002C5D72" w:rsidRDefault="002C5D72">
      <w:pPr>
        <w:rPr>
          <w:lang w:val="en-US"/>
        </w:rPr>
      </w:pPr>
    </w:p>
    <w:p w14:paraId="6B97E01A" w14:textId="77777777" w:rsidR="002C5D72" w:rsidRDefault="002C5D72">
      <w:pPr>
        <w:spacing w:line="240" w:lineRule="auto"/>
        <w:jc w:val="both"/>
        <w:rPr>
          <w:bCs/>
          <w:szCs w:val="24"/>
        </w:rPr>
      </w:pPr>
    </w:p>
    <w:p w14:paraId="3C7D3FBB" w14:textId="77777777" w:rsidR="002C5D72" w:rsidRDefault="002C5D72">
      <w:pPr>
        <w:spacing w:line="240" w:lineRule="auto"/>
        <w:jc w:val="both"/>
        <w:rPr>
          <w:bCs/>
          <w:szCs w:val="24"/>
        </w:rPr>
      </w:pPr>
    </w:p>
    <w:p w14:paraId="2C02AD32" w14:textId="77777777" w:rsidR="002C5D72" w:rsidRDefault="002C5D72">
      <w:pPr>
        <w:spacing w:line="240" w:lineRule="auto"/>
        <w:jc w:val="both"/>
        <w:rPr>
          <w:bCs/>
          <w:szCs w:val="24"/>
        </w:rPr>
      </w:pPr>
    </w:p>
    <w:p w14:paraId="7DBB1CD8" w14:textId="77777777" w:rsidR="002C5D72" w:rsidRDefault="002C5D72">
      <w:pPr>
        <w:spacing w:line="240" w:lineRule="auto"/>
        <w:jc w:val="both"/>
        <w:rPr>
          <w:bCs/>
          <w:szCs w:val="24"/>
        </w:rPr>
      </w:pPr>
    </w:p>
    <w:p w14:paraId="0E4E87D4" w14:textId="77777777" w:rsidR="002C5D72" w:rsidRDefault="002C5D72">
      <w:pPr>
        <w:spacing w:line="240" w:lineRule="auto"/>
        <w:jc w:val="both"/>
        <w:rPr>
          <w:bCs/>
          <w:szCs w:val="24"/>
        </w:rPr>
      </w:pPr>
    </w:p>
    <w:p w14:paraId="75BD7F24" w14:textId="77777777" w:rsidR="002C5D72" w:rsidRDefault="002C5D72">
      <w:pPr>
        <w:spacing w:line="240" w:lineRule="auto"/>
        <w:jc w:val="both"/>
        <w:rPr>
          <w:bCs/>
          <w:szCs w:val="24"/>
        </w:rPr>
      </w:pPr>
    </w:p>
    <w:p w14:paraId="01C391F3" w14:textId="77777777" w:rsidR="002C5D72" w:rsidRDefault="00000000">
      <w:pPr>
        <w:spacing w:line="240" w:lineRule="auto"/>
        <w:jc w:val="both"/>
        <w:rPr>
          <w:bCs/>
          <w:szCs w:val="24"/>
        </w:rPr>
      </w:pPr>
      <w:r>
        <w:rPr>
          <w:bCs/>
          <w:szCs w:val="24"/>
        </w:rPr>
        <w:lastRenderedPageBreak/>
        <w:t xml:space="preserve">Table 3. Biofilm inhibitory activity of aqueous fraction </w:t>
      </w:r>
      <w:r>
        <w:rPr>
          <w:bCs/>
          <w:szCs w:val="28"/>
        </w:rPr>
        <w:t>from stem-bark methanol extract of</w:t>
      </w:r>
      <w:r>
        <w:rPr>
          <w:bCs/>
          <w:szCs w:val="24"/>
        </w:rPr>
        <w:t xml:space="preserve"> </w:t>
      </w:r>
      <w:r>
        <w:rPr>
          <w:bCs/>
          <w:i/>
          <w:iCs/>
          <w:szCs w:val="24"/>
        </w:rPr>
        <w:t>Parkia biglobosa</w:t>
      </w:r>
      <w:r>
        <w:rPr>
          <w:bCs/>
          <w:szCs w:val="24"/>
        </w:rPr>
        <w:t xml:space="preserve"> against isolates from chronic wounds of patients attending selected health facilities in Kaduna, Nigeria</w:t>
      </w:r>
    </w:p>
    <w:tbl>
      <w:tblPr>
        <w:tblW w:w="0" w:type="auto"/>
        <w:tblBorders>
          <w:top w:val="single" w:sz="4" w:space="0" w:color="auto"/>
          <w:bottom w:val="single" w:sz="4" w:space="0" w:color="auto"/>
        </w:tblBorders>
        <w:tblLook w:val="04A0" w:firstRow="1" w:lastRow="0" w:firstColumn="1" w:lastColumn="0" w:noHBand="0" w:noVBand="1"/>
      </w:tblPr>
      <w:tblGrid>
        <w:gridCol w:w="2325"/>
        <w:gridCol w:w="2313"/>
        <w:gridCol w:w="2314"/>
        <w:gridCol w:w="2314"/>
      </w:tblGrid>
      <w:tr w:rsidR="002C5D72" w14:paraId="7E43A62A" w14:textId="77777777">
        <w:tc>
          <w:tcPr>
            <w:tcW w:w="2325" w:type="dxa"/>
            <w:shd w:val="clear" w:color="auto" w:fill="auto"/>
          </w:tcPr>
          <w:p w14:paraId="46C2D325" w14:textId="77777777" w:rsidR="002C5D72" w:rsidRDefault="00000000">
            <w:pPr>
              <w:jc w:val="both"/>
              <w:rPr>
                <w:b/>
                <w:szCs w:val="24"/>
              </w:rPr>
            </w:pPr>
            <w:bookmarkStart w:id="15" w:name="_Hlk135165476"/>
            <w:r>
              <w:rPr>
                <w:b/>
                <w:szCs w:val="24"/>
              </w:rPr>
              <w:t>Isolates</w:t>
            </w:r>
          </w:p>
        </w:tc>
        <w:tc>
          <w:tcPr>
            <w:tcW w:w="6941" w:type="dxa"/>
            <w:gridSpan w:val="3"/>
            <w:shd w:val="clear" w:color="auto" w:fill="auto"/>
          </w:tcPr>
          <w:p w14:paraId="3B2B114E" w14:textId="77777777" w:rsidR="002C5D72" w:rsidRDefault="00000000">
            <w:pPr>
              <w:jc w:val="both"/>
              <w:rPr>
                <w:b/>
                <w:szCs w:val="24"/>
              </w:rPr>
            </w:pPr>
            <w:r>
              <w:rPr>
                <w:b/>
                <w:szCs w:val="24"/>
              </w:rPr>
              <w:t>Inhibition (%</w:t>
            </w:r>
            <w:r>
              <w:rPr>
                <w:szCs w:val="24"/>
              </w:rPr>
              <w:t>±</w:t>
            </w:r>
            <w:r>
              <w:rPr>
                <w:b/>
                <w:szCs w:val="24"/>
              </w:rPr>
              <w:t>Standard deviation)</w:t>
            </w:r>
          </w:p>
        </w:tc>
      </w:tr>
      <w:tr w:rsidR="002C5D72" w14:paraId="3AC6921B" w14:textId="77777777">
        <w:tc>
          <w:tcPr>
            <w:tcW w:w="2325" w:type="dxa"/>
            <w:shd w:val="clear" w:color="auto" w:fill="auto"/>
          </w:tcPr>
          <w:p w14:paraId="044A8861" w14:textId="00F245EB" w:rsidR="002C5D72" w:rsidRDefault="00B1744C">
            <w:pPr>
              <w:jc w:val="both"/>
              <w:rPr>
                <w:szCs w:val="24"/>
              </w:rPr>
            </w:pPr>
            <w:r>
              <w:rPr>
                <w:rFonts w:cs="Arial"/>
                <w:noProof/>
                <w:szCs w:val="22"/>
              </w:rPr>
              <mc:AlternateContent>
                <mc:Choice Requires="wps">
                  <w:drawing>
                    <wp:anchor distT="0" distB="0" distL="0" distR="0" simplePos="0" relativeHeight="251658240" behindDoc="0" locked="0" layoutInCell="1" allowOverlap="1" wp14:anchorId="543A5B04" wp14:editId="0705B4B5">
                      <wp:simplePos x="0" y="0"/>
                      <wp:positionH relativeFrom="margin">
                        <wp:posOffset>-8890</wp:posOffset>
                      </wp:positionH>
                      <wp:positionV relativeFrom="paragraph">
                        <wp:posOffset>252095</wp:posOffset>
                      </wp:positionV>
                      <wp:extent cx="5715635" cy="17145"/>
                      <wp:effectExtent l="10160" t="5080" r="8255" b="6350"/>
                      <wp:wrapNone/>
                      <wp:docPr id="149472142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635" cy="1714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C486AB" id="1030" o:spid="_x0000_s1026" style="position:absolute;flip:x;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7pt,19.85pt" to="449.3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" strokeweight=".5pt">
                      <v:stroke joinstyle="miter"/>
                      <w10:wrap anchorx="margin"/>
                    </v:line>
                  </w:pict>
                </mc:Fallback>
              </mc:AlternateContent>
            </w:r>
          </w:p>
        </w:tc>
        <w:tc>
          <w:tcPr>
            <w:tcW w:w="2313" w:type="dxa"/>
            <w:shd w:val="clear" w:color="auto" w:fill="auto"/>
          </w:tcPr>
          <w:p w14:paraId="3A5EB31A" w14:textId="77777777" w:rsidR="002C5D72" w:rsidRDefault="00000000">
            <w:pPr>
              <w:jc w:val="both"/>
              <w:rPr>
                <w:szCs w:val="24"/>
              </w:rPr>
            </w:pPr>
            <w:r>
              <w:rPr>
                <w:szCs w:val="24"/>
              </w:rPr>
              <w:t>A</w:t>
            </w:r>
          </w:p>
        </w:tc>
        <w:tc>
          <w:tcPr>
            <w:tcW w:w="2314" w:type="dxa"/>
            <w:shd w:val="clear" w:color="auto" w:fill="auto"/>
          </w:tcPr>
          <w:p w14:paraId="5E09B952" w14:textId="77777777" w:rsidR="002C5D72" w:rsidRDefault="00000000">
            <w:pPr>
              <w:jc w:val="both"/>
              <w:rPr>
                <w:szCs w:val="24"/>
              </w:rPr>
            </w:pPr>
            <w:r>
              <w:rPr>
                <w:szCs w:val="24"/>
              </w:rPr>
              <w:t>B</w:t>
            </w:r>
          </w:p>
        </w:tc>
        <w:tc>
          <w:tcPr>
            <w:tcW w:w="2314" w:type="dxa"/>
            <w:shd w:val="clear" w:color="auto" w:fill="auto"/>
          </w:tcPr>
          <w:p w14:paraId="36176691" w14:textId="77777777" w:rsidR="002C5D72" w:rsidRDefault="00000000">
            <w:pPr>
              <w:jc w:val="both"/>
              <w:rPr>
                <w:szCs w:val="24"/>
              </w:rPr>
            </w:pPr>
            <w:r>
              <w:rPr>
                <w:szCs w:val="24"/>
              </w:rPr>
              <w:t>C</w:t>
            </w:r>
          </w:p>
        </w:tc>
      </w:tr>
      <w:tr w:rsidR="002C5D72" w14:paraId="0D62F0A2" w14:textId="77777777">
        <w:tc>
          <w:tcPr>
            <w:tcW w:w="2325" w:type="dxa"/>
            <w:shd w:val="clear" w:color="auto" w:fill="auto"/>
          </w:tcPr>
          <w:p w14:paraId="6EDFEFF2" w14:textId="77777777" w:rsidR="002C5D72" w:rsidRDefault="00000000">
            <w:pPr>
              <w:jc w:val="both"/>
              <w:rPr>
                <w:szCs w:val="24"/>
              </w:rPr>
            </w:pPr>
            <w:r>
              <w:rPr>
                <w:i/>
                <w:iCs/>
                <w:szCs w:val="24"/>
              </w:rPr>
              <w:t>E.coli</w:t>
            </w:r>
          </w:p>
        </w:tc>
        <w:tc>
          <w:tcPr>
            <w:tcW w:w="2313" w:type="dxa"/>
            <w:shd w:val="clear" w:color="auto" w:fill="auto"/>
          </w:tcPr>
          <w:p w14:paraId="20050476" w14:textId="77777777" w:rsidR="002C5D72" w:rsidRDefault="00000000">
            <w:pPr>
              <w:jc w:val="both"/>
              <w:rPr>
                <w:szCs w:val="24"/>
              </w:rPr>
            </w:pPr>
            <w:r>
              <w:rPr>
                <w:szCs w:val="24"/>
              </w:rPr>
              <w:t>80.6±4.3</w:t>
            </w:r>
          </w:p>
        </w:tc>
        <w:tc>
          <w:tcPr>
            <w:tcW w:w="2314" w:type="dxa"/>
            <w:shd w:val="clear" w:color="auto" w:fill="auto"/>
          </w:tcPr>
          <w:p w14:paraId="7B88EBEB" w14:textId="77777777" w:rsidR="002C5D72" w:rsidRDefault="00000000">
            <w:pPr>
              <w:jc w:val="both"/>
              <w:rPr>
                <w:szCs w:val="24"/>
              </w:rPr>
            </w:pPr>
            <w:r>
              <w:rPr>
                <w:szCs w:val="24"/>
              </w:rPr>
              <w:t>92.8±0.6</w:t>
            </w:r>
          </w:p>
        </w:tc>
        <w:tc>
          <w:tcPr>
            <w:tcW w:w="2314" w:type="dxa"/>
            <w:shd w:val="clear" w:color="auto" w:fill="auto"/>
          </w:tcPr>
          <w:p w14:paraId="4ECF9A65" w14:textId="77777777" w:rsidR="002C5D72" w:rsidRDefault="00000000">
            <w:pPr>
              <w:jc w:val="both"/>
              <w:rPr>
                <w:szCs w:val="24"/>
              </w:rPr>
            </w:pPr>
            <w:r>
              <w:rPr>
                <w:szCs w:val="24"/>
              </w:rPr>
              <w:t>96.4±1.0</w:t>
            </w:r>
          </w:p>
        </w:tc>
      </w:tr>
      <w:tr w:rsidR="002C5D72" w14:paraId="7CBDFA4A" w14:textId="77777777">
        <w:tc>
          <w:tcPr>
            <w:tcW w:w="2325" w:type="dxa"/>
            <w:shd w:val="clear" w:color="auto" w:fill="auto"/>
          </w:tcPr>
          <w:p w14:paraId="27B62575" w14:textId="77777777" w:rsidR="002C5D72" w:rsidRDefault="00000000">
            <w:pPr>
              <w:jc w:val="both"/>
              <w:rPr>
                <w:szCs w:val="24"/>
              </w:rPr>
            </w:pPr>
            <w:r>
              <w:rPr>
                <w:i/>
                <w:iCs/>
                <w:szCs w:val="24"/>
              </w:rPr>
              <w:t>Pseudomonas</w:t>
            </w:r>
            <w:r>
              <w:rPr>
                <w:szCs w:val="24"/>
              </w:rPr>
              <w:t xml:space="preserve"> spp.</w:t>
            </w:r>
          </w:p>
        </w:tc>
        <w:tc>
          <w:tcPr>
            <w:tcW w:w="2313" w:type="dxa"/>
            <w:shd w:val="clear" w:color="auto" w:fill="auto"/>
          </w:tcPr>
          <w:p w14:paraId="11C7D299" w14:textId="77777777" w:rsidR="002C5D72" w:rsidRDefault="00000000">
            <w:pPr>
              <w:jc w:val="both"/>
              <w:rPr>
                <w:szCs w:val="24"/>
              </w:rPr>
            </w:pPr>
            <w:r>
              <w:rPr>
                <w:szCs w:val="24"/>
              </w:rPr>
              <w:t>83.5±1.3</w:t>
            </w:r>
          </w:p>
        </w:tc>
        <w:tc>
          <w:tcPr>
            <w:tcW w:w="2314" w:type="dxa"/>
            <w:shd w:val="clear" w:color="auto" w:fill="auto"/>
          </w:tcPr>
          <w:p w14:paraId="39E6E9EF" w14:textId="77777777" w:rsidR="002C5D72" w:rsidRDefault="00000000">
            <w:pPr>
              <w:jc w:val="both"/>
              <w:rPr>
                <w:szCs w:val="24"/>
              </w:rPr>
            </w:pPr>
            <w:r>
              <w:rPr>
                <w:szCs w:val="24"/>
              </w:rPr>
              <w:t>93.2±0.4</w:t>
            </w:r>
          </w:p>
        </w:tc>
        <w:tc>
          <w:tcPr>
            <w:tcW w:w="2314" w:type="dxa"/>
            <w:shd w:val="clear" w:color="auto" w:fill="auto"/>
          </w:tcPr>
          <w:p w14:paraId="6AA9520F" w14:textId="77777777" w:rsidR="002C5D72" w:rsidRDefault="00000000">
            <w:pPr>
              <w:jc w:val="both"/>
              <w:rPr>
                <w:szCs w:val="24"/>
              </w:rPr>
            </w:pPr>
            <w:r>
              <w:rPr>
                <w:szCs w:val="24"/>
              </w:rPr>
              <w:t>96.5±0.6</w:t>
            </w:r>
          </w:p>
        </w:tc>
      </w:tr>
      <w:tr w:rsidR="002C5D72" w14:paraId="684C44FE" w14:textId="77777777">
        <w:tc>
          <w:tcPr>
            <w:tcW w:w="2325" w:type="dxa"/>
            <w:shd w:val="clear" w:color="auto" w:fill="auto"/>
          </w:tcPr>
          <w:p w14:paraId="1F37D7DB" w14:textId="77777777" w:rsidR="002C5D72" w:rsidRDefault="00000000">
            <w:pPr>
              <w:jc w:val="both"/>
              <w:rPr>
                <w:szCs w:val="24"/>
              </w:rPr>
            </w:pPr>
            <w:r>
              <w:rPr>
                <w:i/>
                <w:iCs/>
                <w:szCs w:val="24"/>
              </w:rPr>
              <w:t>Proteus</w:t>
            </w:r>
            <w:r>
              <w:rPr>
                <w:szCs w:val="24"/>
              </w:rPr>
              <w:t xml:space="preserve"> spp.</w:t>
            </w:r>
          </w:p>
        </w:tc>
        <w:tc>
          <w:tcPr>
            <w:tcW w:w="2313" w:type="dxa"/>
            <w:shd w:val="clear" w:color="auto" w:fill="auto"/>
          </w:tcPr>
          <w:p w14:paraId="3C60A07C" w14:textId="77777777" w:rsidR="002C5D72" w:rsidRDefault="00000000">
            <w:pPr>
              <w:jc w:val="both"/>
              <w:rPr>
                <w:szCs w:val="24"/>
              </w:rPr>
            </w:pPr>
            <w:r>
              <w:rPr>
                <w:szCs w:val="24"/>
              </w:rPr>
              <w:t>81.3±3.0</w:t>
            </w:r>
          </w:p>
        </w:tc>
        <w:tc>
          <w:tcPr>
            <w:tcW w:w="2314" w:type="dxa"/>
            <w:shd w:val="clear" w:color="auto" w:fill="auto"/>
          </w:tcPr>
          <w:p w14:paraId="61F98A2A" w14:textId="77777777" w:rsidR="002C5D72" w:rsidRDefault="00000000">
            <w:pPr>
              <w:jc w:val="both"/>
              <w:rPr>
                <w:szCs w:val="24"/>
              </w:rPr>
            </w:pPr>
            <w:r>
              <w:rPr>
                <w:szCs w:val="24"/>
              </w:rPr>
              <w:t>92.6±0.6</w:t>
            </w:r>
          </w:p>
        </w:tc>
        <w:tc>
          <w:tcPr>
            <w:tcW w:w="2314" w:type="dxa"/>
            <w:shd w:val="clear" w:color="auto" w:fill="auto"/>
          </w:tcPr>
          <w:p w14:paraId="3D365449" w14:textId="77777777" w:rsidR="002C5D72" w:rsidRDefault="00000000">
            <w:pPr>
              <w:jc w:val="both"/>
              <w:rPr>
                <w:szCs w:val="24"/>
              </w:rPr>
            </w:pPr>
            <w:r>
              <w:rPr>
                <w:szCs w:val="24"/>
              </w:rPr>
              <w:t>96.8±0.2</w:t>
            </w:r>
          </w:p>
        </w:tc>
      </w:tr>
      <w:tr w:rsidR="002C5D72" w14:paraId="3A2844BE" w14:textId="77777777">
        <w:tc>
          <w:tcPr>
            <w:tcW w:w="2325" w:type="dxa"/>
            <w:shd w:val="clear" w:color="auto" w:fill="auto"/>
          </w:tcPr>
          <w:p w14:paraId="50FFA142" w14:textId="77777777" w:rsidR="002C5D72" w:rsidRDefault="00000000">
            <w:pPr>
              <w:jc w:val="both"/>
              <w:rPr>
                <w:szCs w:val="24"/>
              </w:rPr>
            </w:pPr>
            <w:r>
              <w:rPr>
                <w:i/>
                <w:iCs/>
                <w:szCs w:val="24"/>
              </w:rPr>
              <w:t>Klebsiella</w:t>
            </w:r>
            <w:r>
              <w:rPr>
                <w:szCs w:val="24"/>
              </w:rPr>
              <w:t xml:space="preserve"> spp.</w:t>
            </w:r>
          </w:p>
        </w:tc>
        <w:tc>
          <w:tcPr>
            <w:tcW w:w="2313" w:type="dxa"/>
            <w:shd w:val="clear" w:color="auto" w:fill="auto"/>
          </w:tcPr>
          <w:p w14:paraId="79DA4AC6" w14:textId="77777777" w:rsidR="002C5D72" w:rsidRDefault="00000000">
            <w:pPr>
              <w:jc w:val="both"/>
              <w:rPr>
                <w:szCs w:val="24"/>
              </w:rPr>
            </w:pPr>
            <w:r>
              <w:rPr>
                <w:szCs w:val="24"/>
              </w:rPr>
              <w:t>80.4±3.1</w:t>
            </w:r>
          </w:p>
        </w:tc>
        <w:tc>
          <w:tcPr>
            <w:tcW w:w="2314" w:type="dxa"/>
            <w:shd w:val="clear" w:color="auto" w:fill="auto"/>
          </w:tcPr>
          <w:p w14:paraId="46737A0D" w14:textId="77777777" w:rsidR="002C5D72" w:rsidRDefault="00000000">
            <w:pPr>
              <w:jc w:val="both"/>
              <w:rPr>
                <w:szCs w:val="24"/>
              </w:rPr>
            </w:pPr>
            <w:r>
              <w:rPr>
                <w:szCs w:val="24"/>
              </w:rPr>
              <w:t>92.8±0.4</w:t>
            </w:r>
          </w:p>
        </w:tc>
        <w:tc>
          <w:tcPr>
            <w:tcW w:w="2314" w:type="dxa"/>
            <w:shd w:val="clear" w:color="auto" w:fill="auto"/>
          </w:tcPr>
          <w:p w14:paraId="571E22C2" w14:textId="77777777" w:rsidR="002C5D72" w:rsidRDefault="00000000">
            <w:pPr>
              <w:jc w:val="both"/>
              <w:rPr>
                <w:szCs w:val="24"/>
              </w:rPr>
            </w:pPr>
            <w:r>
              <w:rPr>
                <w:szCs w:val="24"/>
              </w:rPr>
              <w:t>95.7±1.8</w:t>
            </w:r>
          </w:p>
        </w:tc>
      </w:tr>
      <w:tr w:rsidR="002C5D72" w14:paraId="33F30D1C" w14:textId="77777777">
        <w:tc>
          <w:tcPr>
            <w:tcW w:w="2325" w:type="dxa"/>
            <w:shd w:val="clear" w:color="auto" w:fill="auto"/>
          </w:tcPr>
          <w:p w14:paraId="35E205D0" w14:textId="77777777" w:rsidR="002C5D72" w:rsidRDefault="00000000">
            <w:pPr>
              <w:jc w:val="both"/>
              <w:rPr>
                <w:szCs w:val="24"/>
              </w:rPr>
            </w:pPr>
            <w:r>
              <w:rPr>
                <w:i/>
                <w:iCs/>
                <w:szCs w:val="24"/>
              </w:rPr>
              <w:t>Staphylococcus</w:t>
            </w:r>
            <w:r>
              <w:rPr>
                <w:szCs w:val="24"/>
              </w:rPr>
              <w:t>. Spp.</w:t>
            </w:r>
          </w:p>
        </w:tc>
        <w:tc>
          <w:tcPr>
            <w:tcW w:w="2313" w:type="dxa"/>
            <w:shd w:val="clear" w:color="auto" w:fill="auto"/>
          </w:tcPr>
          <w:p w14:paraId="3B05DFC5" w14:textId="77777777" w:rsidR="002C5D72" w:rsidRDefault="00000000">
            <w:pPr>
              <w:jc w:val="both"/>
              <w:rPr>
                <w:szCs w:val="24"/>
              </w:rPr>
            </w:pPr>
            <w:r>
              <w:rPr>
                <w:szCs w:val="24"/>
              </w:rPr>
              <w:t>76.4±6.3</w:t>
            </w:r>
          </w:p>
        </w:tc>
        <w:tc>
          <w:tcPr>
            <w:tcW w:w="2314" w:type="dxa"/>
            <w:shd w:val="clear" w:color="auto" w:fill="auto"/>
          </w:tcPr>
          <w:p w14:paraId="6B664EEC" w14:textId="77777777" w:rsidR="002C5D72" w:rsidRDefault="00000000">
            <w:pPr>
              <w:jc w:val="both"/>
              <w:rPr>
                <w:szCs w:val="24"/>
              </w:rPr>
            </w:pPr>
            <w:r>
              <w:rPr>
                <w:szCs w:val="24"/>
              </w:rPr>
              <w:t>91.5±1.4</w:t>
            </w:r>
          </w:p>
        </w:tc>
        <w:tc>
          <w:tcPr>
            <w:tcW w:w="2314" w:type="dxa"/>
            <w:shd w:val="clear" w:color="auto" w:fill="auto"/>
          </w:tcPr>
          <w:p w14:paraId="4EEEA314" w14:textId="77777777" w:rsidR="002C5D72" w:rsidRDefault="00000000">
            <w:pPr>
              <w:jc w:val="both"/>
              <w:rPr>
                <w:szCs w:val="24"/>
              </w:rPr>
            </w:pPr>
            <w:r>
              <w:rPr>
                <w:szCs w:val="24"/>
              </w:rPr>
              <w:t>96.4±0.5</w:t>
            </w:r>
          </w:p>
        </w:tc>
      </w:tr>
    </w:tbl>
    <w:p w14:paraId="0E4AB2A8" w14:textId="77777777" w:rsidR="002C5D72" w:rsidRDefault="00000000">
      <w:pPr>
        <w:jc w:val="both"/>
        <w:rPr>
          <w:szCs w:val="24"/>
        </w:rPr>
      </w:pPr>
      <w:bookmarkStart w:id="16" w:name="_Hlk156305630"/>
      <w:bookmarkEnd w:id="15"/>
      <w:r>
        <w:rPr>
          <w:szCs w:val="24"/>
        </w:rPr>
        <w:t>Key:</w:t>
      </w:r>
    </w:p>
    <w:p w14:paraId="62B49572" w14:textId="77777777" w:rsidR="002C5D72" w:rsidRDefault="00000000">
      <w:pPr>
        <w:jc w:val="both"/>
        <w:rPr>
          <w:szCs w:val="24"/>
        </w:rPr>
      </w:pPr>
      <w:bookmarkStart w:id="17" w:name="_Hlk168397853"/>
      <w:r>
        <w:rPr>
          <w:szCs w:val="24"/>
        </w:rPr>
        <w:t>A: sub-MIC [</w:t>
      </w:r>
      <w:r>
        <w:rPr>
          <w:i/>
          <w:iCs/>
          <w:szCs w:val="24"/>
        </w:rPr>
        <w:t xml:space="preserve">Proteus </w:t>
      </w:r>
      <w:r>
        <w:rPr>
          <w:szCs w:val="24"/>
        </w:rPr>
        <w:t xml:space="preserve"> and </w:t>
      </w:r>
      <w:r>
        <w:rPr>
          <w:i/>
          <w:iCs/>
          <w:szCs w:val="24"/>
        </w:rPr>
        <w:t xml:space="preserve">Klebsiella spp. </w:t>
      </w:r>
      <w:r>
        <w:rPr>
          <w:szCs w:val="24"/>
        </w:rPr>
        <w:t xml:space="preserve">(1.56mg/ml), </w:t>
      </w:r>
      <w:r>
        <w:rPr>
          <w:i/>
          <w:iCs/>
          <w:szCs w:val="24"/>
        </w:rPr>
        <w:t xml:space="preserve">Staphylococcus </w:t>
      </w:r>
      <w:r>
        <w:rPr>
          <w:szCs w:val="24"/>
        </w:rPr>
        <w:t xml:space="preserve">and </w:t>
      </w:r>
      <w:r>
        <w:rPr>
          <w:i/>
          <w:iCs/>
          <w:szCs w:val="24"/>
        </w:rPr>
        <w:t>Pseudomonas</w:t>
      </w:r>
      <w:r>
        <w:rPr>
          <w:szCs w:val="24"/>
        </w:rPr>
        <w:t xml:space="preserve"> (3.125mg/ml),</w:t>
      </w:r>
      <w:r>
        <w:rPr>
          <w:i/>
          <w:iCs/>
          <w:szCs w:val="24"/>
        </w:rPr>
        <w:t xml:space="preserve"> E.coli</w:t>
      </w:r>
      <w:r>
        <w:rPr>
          <w:szCs w:val="24"/>
        </w:rPr>
        <w:t xml:space="preserve"> (6.25mg/ml)]</w:t>
      </w:r>
    </w:p>
    <w:p w14:paraId="44D61C04" w14:textId="77777777" w:rsidR="002C5D72" w:rsidRDefault="00000000">
      <w:pPr>
        <w:jc w:val="both"/>
        <w:rPr>
          <w:szCs w:val="24"/>
        </w:rPr>
      </w:pPr>
      <w:r>
        <w:rPr>
          <w:szCs w:val="24"/>
        </w:rPr>
        <w:t>B: MIC [</w:t>
      </w:r>
      <w:r>
        <w:rPr>
          <w:i/>
          <w:iCs/>
          <w:szCs w:val="24"/>
        </w:rPr>
        <w:t xml:space="preserve">Proteus </w:t>
      </w:r>
      <w:r>
        <w:rPr>
          <w:szCs w:val="24"/>
        </w:rPr>
        <w:t xml:space="preserve"> and </w:t>
      </w:r>
      <w:r>
        <w:rPr>
          <w:i/>
          <w:iCs/>
          <w:szCs w:val="24"/>
        </w:rPr>
        <w:t xml:space="preserve">Klebsiella spp. </w:t>
      </w:r>
      <w:r>
        <w:rPr>
          <w:szCs w:val="24"/>
        </w:rPr>
        <w:t xml:space="preserve">(3.125mg/ml), </w:t>
      </w:r>
      <w:r>
        <w:rPr>
          <w:i/>
          <w:iCs/>
          <w:szCs w:val="24"/>
        </w:rPr>
        <w:t xml:space="preserve">Staphylococcus </w:t>
      </w:r>
      <w:r>
        <w:rPr>
          <w:szCs w:val="24"/>
        </w:rPr>
        <w:t xml:space="preserve">and </w:t>
      </w:r>
      <w:r>
        <w:rPr>
          <w:i/>
          <w:iCs/>
          <w:szCs w:val="24"/>
        </w:rPr>
        <w:t>Pseudomonas</w:t>
      </w:r>
      <w:r>
        <w:rPr>
          <w:szCs w:val="24"/>
        </w:rPr>
        <w:t xml:space="preserve"> spp. (6.25mg/ml), </w:t>
      </w:r>
      <w:r>
        <w:rPr>
          <w:i/>
          <w:iCs/>
          <w:szCs w:val="24"/>
        </w:rPr>
        <w:t xml:space="preserve">E.coli </w:t>
      </w:r>
      <w:r>
        <w:rPr>
          <w:szCs w:val="24"/>
        </w:rPr>
        <w:t>(12.5mg/ml)]</w:t>
      </w:r>
    </w:p>
    <w:p w14:paraId="64FDAAFB" w14:textId="77777777" w:rsidR="002C5D72" w:rsidRDefault="00000000">
      <w:pPr>
        <w:jc w:val="both"/>
        <w:rPr>
          <w:szCs w:val="24"/>
        </w:rPr>
      </w:pPr>
      <w:r>
        <w:rPr>
          <w:szCs w:val="24"/>
        </w:rPr>
        <w:t>C: sub-MBC [</w:t>
      </w:r>
      <w:r>
        <w:rPr>
          <w:i/>
          <w:iCs/>
          <w:szCs w:val="24"/>
        </w:rPr>
        <w:t xml:space="preserve">Staphylococcus </w:t>
      </w:r>
      <w:r>
        <w:rPr>
          <w:szCs w:val="24"/>
        </w:rPr>
        <w:t xml:space="preserve"> and </w:t>
      </w:r>
      <w:r>
        <w:rPr>
          <w:i/>
          <w:iCs/>
          <w:szCs w:val="24"/>
        </w:rPr>
        <w:t>Klebsiella spp.</w:t>
      </w:r>
      <w:r>
        <w:rPr>
          <w:szCs w:val="24"/>
        </w:rPr>
        <w:t xml:space="preserve"> (3.125mg/ml), </w:t>
      </w:r>
      <w:r>
        <w:rPr>
          <w:i/>
          <w:iCs/>
          <w:szCs w:val="24"/>
        </w:rPr>
        <w:t xml:space="preserve">E. coli, Proteus </w:t>
      </w:r>
      <w:r>
        <w:rPr>
          <w:szCs w:val="24"/>
        </w:rPr>
        <w:t xml:space="preserve">and </w:t>
      </w:r>
      <w:r>
        <w:rPr>
          <w:i/>
          <w:iCs/>
          <w:szCs w:val="24"/>
        </w:rPr>
        <w:t xml:space="preserve">Pseudomonas </w:t>
      </w:r>
      <w:r>
        <w:rPr>
          <w:szCs w:val="24"/>
        </w:rPr>
        <w:t>(6.25mg/ml)]</w:t>
      </w:r>
    </w:p>
    <w:p w14:paraId="72953DBE" w14:textId="77777777" w:rsidR="002C5D72" w:rsidRDefault="002C5D72">
      <w:pPr>
        <w:spacing w:line="240" w:lineRule="auto"/>
        <w:jc w:val="both"/>
        <w:rPr>
          <w:bCs/>
          <w:szCs w:val="24"/>
        </w:rPr>
      </w:pPr>
      <w:bookmarkStart w:id="18" w:name="_Hlk156305969"/>
      <w:bookmarkEnd w:id="16"/>
      <w:bookmarkEnd w:id="17"/>
    </w:p>
    <w:p w14:paraId="626E84B4" w14:textId="77777777" w:rsidR="002C5D72" w:rsidRDefault="002C5D72">
      <w:pPr>
        <w:spacing w:line="240" w:lineRule="auto"/>
        <w:jc w:val="both"/>
        <w:rPr>
          <w:bCs/>
          <w:szCs w:val="24"/>
        </w:rPr>
      </w:pPr>
    </w:p>
    <w:p w14:paraId="44E5CFC6" w14:textId="77777777" w:rsidR="002C5D72" w:rsidRDefault="002C5D72">
      <w:pPr>
        <w:spacing w:line="240" w:lineRule="auto"/>
        <w:jc w:val="both"/>
        <w:rPr>
          <w:bCs/>
          <w:szCs w:val="24"/>
        </w:rPr>
      </w:pPr>
    </w:p>
    <w:p w14:paraId="3F60A55D" w14:textId="77777777" w:rsidR="002C5D72" w:rsidRDefault="002C5D72">
      <w:pPr>
        <w:spacing w:line="240" w:lineRule="auto"/>
        <w:jc w:val="both"/>
        <w:rPr>
          <w:bCs/>
          <w:szCs w:val="24"/>
        </w:rPr>
      </w:pPr>
    </w:p>
    <w:p w14:paraId="79B4B0BB" w14:textId="77777777" w:rsidR="002C5D72" w:rsidRDefault="002C5D72">
      <w:pPr>
        <w:spacing w:line="240" w:lineRule="auto"/>
        <w:jc w:val="both"/>
        <w:rPr>
          <w:bCs/>
          <w:szCs w:val="24"/>
        </w:rPr>
      </w:pPr>
    </w:p>
    <w:p w14:paraId="23ECEEDF" w14:textId="77777777" w:rsidR="002C5D72" w:rsidRDefault="002C5D72">
      <w:pPr>
        <w:spacing w:line="240" w:lineRule="auto"/>
        <w:jc w:val="both"/>
        <w:rPr>
          <w:bCs/>
          <w:szCs w:val="24"/>
        </w:rPr>
      </w:pPr>
    </w:p>
    <w:p w14:paraId="53949B15" w14:textId="77777777" w:rsidR="002C5D72" w:rsidRDefault="002C5D72">
      <w:pPr>
        <w:spacing w:line="240" w:lineRule="auto"/>
        <w:jc w:val="both"/>
        <w:rPr>
          <w:bCs/>
          <w:szCs w:val="24"/>
        </w:rPr>
      </w:pPr>
    </w:p>
    <w:p w14:paraId="070E45B5" w14:textId="77777777" w:rsidR="002C5D72" w:rsidRDefault="002C5D72">
      <w:pPr>
        <w:spacing w:line="240" w:lineRule="auto"/>
        <w:jc w:val="both"/>
        <w:rPr>
          <w:bCs/>
          <w:szCs w:val="24"/>
        </w:rPr>
      </w:pPr>
    </w:p>
    <w:p w14:paraId="4994D265" w14:textId="77777777" w:rsidR="002C5D72" w:rsidRDefault="002C5D72">
      <w:pPr>
        <w:spacing w:line="240" w:lineRule="auto"/>
        <w:jc w:val="both"/>
        <w:rPr>
          <w:bCs/>
          <w:szCs w:val="24"/>
        </w:rPr>
      </w:pPr>
    </w:p>
    <w:p w14:paraId="6D585BE2" w14:textId="77777777" w:rsidR="002C5D72" w:rsidRDefault="002C5D72">
      <w:pPr>
        <w:spacing w:line="240" w:lineRule="auto"/>
        <w:jc w:val="both"/>
        <w:rPr>
          <w:bCs/>
          <w:szCs w:val="24"/>
        </w:rPr>
      </w:pPr>
    </w:p>
    <w:p w14:paraId="71C9DC38" w14:textId="77777777" w:rsidR="002C5D72" w:rsidRDefault="002C5D72">
      <w:pPr>
        <w:spacing w:line="240" w:lineRule="auto"/>
        <w:jc w:val="both"/>
        <w:rPr>
          <w:bCs/>
          <w:szCs w:val="24"/>
        </w:rPr>
      </w:pPr>
    </w:p>
    <w:p w14:paraId="68123891" w14:textId="77777777" w:rsidR="002C5D72" w:rsidRDefault="002C5D72">
      <w:pPr>
        <w:spacing w:line="240" w:lineRule="auto"/>
        <w:jc w:val="both"/>
        <w:rPr>
          <w:bCs/>
          <w:szCs w:val="24"/>
        </w:rPr>
      </w:pPr>
    </w:p>
    <w:p w14:paraId="1E1105FE" w14:textId="77777777" w:rsidR="002C5D72" w:rsidRDefault="00000000">
      <w:pPr>
        <w:spacing w:line="240" w:lineRule="auto"/>
        <w:jc w:val="both"/>
        <w:rPr>
          <w:bCs/>
          <w:szCs w:val="24"/>
        </w:rPr>
      </w:pPr>
      <w:r>
        <w:rPr>
          <w:bCs/>
          <w:szCs w:val="24"/>
        </w:rPr>
        <w:lastRenderedPageBreak/>
        <w:t xml:space="preserve">Table 4. Antibiofilm activity of aqueous fraction </w:t>
      </w:r>
      <w:r>
        <w:rPr>
          <w:bCs/>
          <w:szCs w:val="28"/>
        </w:rPr>
        <w:t>from stem-bark methanol extract of</w:t>
      </w:r>
      <w:r>
        <w:rPr>
          <w:bCs/>
          <w:szCs w:val="24"/>
        </w:rPr>
        <w:t xml:space="preserve"> </w:t>
      </w:r>
      <w:r>
        <w:rPr>
          <w:bCs/>
          <w:i/>
          <w:iCs/>
          <w:szCs w:val="24"/>
        </w:rPr>
        <w:t>Parkia biglobosa</w:t>
      </w:r>
      <w:r>
        <w:rPr>
          <w:bCs/>
          <w:szCs w:val="24"/>
        </w:rPr>
        <w:t xml:space="preserve"> against isolates of chronic wounds of patients attending selected health facilities in Kaduna, Nigeria</w:t>
      </w:r>
      <w:bookmarkEnd w:id="18"/>
    </w:p>
    <w:tbl>
      <w:tblPr>
        <w:tblW w:w="0" w:type="auto"/>
        <w:tblBorders>
          <w:top w:val="single" w:sz="4" w:space="0" w:color="auto"/>
          <w:bottom w:val="single" w:sz="4" w:space="0" w:color="auto"/>
        </w:tblBorders>
        <w:tblLook w:val="04A0" w:firstRow="1" w:lastRow="0" w:firstColumn="1" w:lastColumn="0" w:noHBand="0" w:noVBand="1"/>
      </w:tblPr>
      <w:tblGrid>
        <w:gridCol w:w="2326"/>
        <w:gridCol w:w="2314"/>
        <w:gridCol w:w="2313"/>
        <w:gridCol w:w="2313"/>
      </w:tblGrid>
      <w:tr w:rsidR="002C5D72" w14:paraId="276F7F1F" w14:textId="77777777">
        <w:tc>
          <w:tcPr>
            <w:tcW w:w="2326" w:type="dxa"/>
            <w:shd w:val="clear" w:color="auto" w:fill="auto"/>
          </w:tcPr>
          <w:p w14:paraId="0E1FA9A8" w14:textId="77777777" w:rsidR="002C5D72" w:rsidRDefault="00000000">
            <w:pPr>
              <w:jc w:val="both"/>
              <w:rPr>
                <w:b/>
                <w:szCs w:val="24"/>
              </w:rPr>
            </w:pPr>
            <w:bookmarkStart w:id="19" w:name="_Hlk156306004"/>
            <w:r>
              <w:rPr>
                <w:b/>
                <w:szCs w:val="24"/>
              </w:rPr>
              <w:t>Isolates</w:t>
            </w:r>
          </w:p>
        </w:tc>
        <w:tc>
          <w:tcPr>
            <w:tcW w:w="6940" w:type="dxa"/>
            <w:gridSpan w:val="3"/>
            <w:shd w:val="clear" w:color="auto" w:fill="auto"/>
          </w:tcPr>
          <w:p w14:paraId="6FBC5756" w14:textId="77777777" w:rsidR="002C5D72" w:rsidRDefault="00000000">
            <w:pPr>
              <w:jc w:val="both"/>
              <w:rPr>
                <w:b/>
                <w:szCs w:val="24"/>
              </w:rPr>
            </w:pPr>
            <w:r>
              <w:rPr>
                <w:b/>
                <w:szCs w:val="24"/>
              </w:rPr>
              <w:t>Antibiofilm activity (%</w:t>
            </w:r>
            <w:r>
              <w:rPr>
                <w:szCs w:val="24"/>
              </w:rPr>
              <w:t>±</w:t>
            </w:r>
            <w:r>
              <w:rPr>
                <w:b/>
                <w:szCs w:val="24"/>
              </w:rPr>
              <w:t>Standard deviation)</w:t>
            </w:r>
          </w:p>
        </w:tc>
      </w:tr>
      <w:tr w:rsidR="002C5D72" w14:paraId="0C10EA7D" w14:textId="77777777">
        <w:tc>
          <w:tcPr>
            <w:tcW w:w="2326" w:type="dxa"/>
            <w:shd w:val="clear" w:color="auto" w:fill="auto"/>
          </w:tcPr>
          <w:p w14:paraId="7B6C8BEB" w14:textId="282AD4B1" w:rsidR="002C5D72" w:rsidRDefault="00B1744C">
            <w:pPr>
              <w:jc w:val="both"/>
              <w:rPr>
                <w:szCs w:val="24"/>
              </w:rPr>
            </w:pPr>
            <w:r>
              <w:rPr>
                <w:rFonts w:cs="Arial"/>
                <w:noProof/>
                <w:szCs w:val="22"/>
              </w:rPr>
              <mc:AlternateContent>
                <mc:Choice Requires="wps">
                  <w:drawing>
                    <wp:anchor distT="0" distB="0" distL="0" distR="0" simplePos="0" relativeHeight="251659264" behindDoc="0" locked="0" layoutInCell="1" allowOverlap="1" wp14:anchorId="5DC283A4" wp14:editId="074CCB95">
                      <wp:simplePos x="0" y="0"/>
                      <wp:positionH relativeFrom="column">
                        <wp:posOffset>-69215</wp:posOffset>
                      </wp:positionH>
                      <wp:positionV relativeFrom="paragraph">
                        <wp:posOffset>294005</wp:posOffset>
                      </wp:positionV>
                      <wp:extent cx="5897880" cy="0"/>
                      <wp:effectExtent l="6985" t="8890" r="10160" b="10160"/>
                      <wp:wrapNone/>
                      <wp:docPr id="90687585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788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A90A" id="1031" o:spid="_x0000_s1026" style="position:absolute;flip:x;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45pt,23.15pt" to="458.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" strokeweight=".5pt">
                      <v:stroke joinstyle="miter"/>
                    </v:line>
                  </w:pict>
                </mc:Fallback>
              </mc:AlternateContent>
            </w:r>
          </w:p>
        </w:tc>
        <w:tc>
          <w:tcPr>
            <w:tcW w:w="2314" w:type="dxa"/>
            <w:shd w:val="clear" w:color="auto" w:fill="auto"/>
          </w:tcPr>
          <w:p w14:paraId="0E40B767" w14:textId="77777777" w:rsidR="002C5D72" w:rsidRDefault="00000000">
            <w:pPr>
              <w:jc w:val="both"/>
              <w:rPr>
                <w:szCs w:val="24"/>
              </w:rPr>
            </w:pPr>
            <w:r>
              <w:rPr>
                <w:szCs w:val="24"/>
              </w:rPr>
              <w:t>A</w:t>
            </w:r>
          </w:p>
        </w:tc>
        <w:tc>
          <w:tcPr>
            <w:tcW w:w="2313" w:type="dxa"/>
            <w:shd w:val="clear" w:color="auto" w:fill="auto"/>
          </w:tcPr>
          <w:p w14:paraId="63C895CD" w14:textId="77777777" w:rsidR="002C5D72" w:rsidRDefault="00000000">
            <w:pPr>
              <w:jc w:val="both"/>
              <w:rPr>
                <w:szCs w:val="24"/>
              </w:rPr>
            </w:pPr>
            <w:r>
              <w:rPr>
                <w:szCs w:val="24"/>
              </w:rPr>
              <w:t>B</w:t>
            </w:r>
          </w:p>
        </w:tc>
        <w:tc>
          <w:tcPr>
            <w:tcW w:w="2313" w:type="dxa"/>
            <w:shd w:val="clear" w:color="auto" w:fill="auto"/>
          </w:tcPr>
          <w:p w14:paraId="2127B9D5" w14:textId="77777777" w:rsidR="002C5D72" w:rsidRDefault="00000000">
            <w:pPr>
              <w:jc w:val="both"/>
              <w:rPr>
                <w:szCs w:val="24"/>
              </w:rPr>
            </w:pPr>
            <w:r>
              <w:rPr>
                <w:szCs w:val="24"/>
              </w:rPr>
              <w:t>C</w:t>
            </w:r>
          </w:p>
        </w:tc>
      </w:tr>
      <w:tr w:rsidR="002C5D72" w14:paraId="6912C0C6" w14:textId="77777777">
        <w:tc>
          <w:tcPr>
            <w:tcW w:w="2326" w:type="dxa"/>
            <w:shd w:val="clear" w:color="auto" w:fill="auto"/>
          </w:tcPr>
          <w:p w14:paraId="0000632E" w14:textId="77777777" w:rsidR="002C5D72" w:rsidRDefault="00000000">
            <w:pPr>
              <w:jc w:val="both"/>
              <w:rPr>
                <w:szCs w:val="24"/>
              </w:rPr>
            </w:pPr>
            <w:r>
              <w:rPr>
                <w:i/>
                <w:iCs/>
                <w:szCs w:val="24"/>
              </w:rPr>
              <w:t>E.coli</w:t>
            </w:r>
          </w:p>
        </w:tc>
        <w:tc>
          <w:tcPr>
            <w:tcW w:w="2314" w:type="dxa"/>
            <w:shd w:val="clear" w:color="auto" w:fill="auto"/>
          </w:tcPr>
          <w:p w14:paraId="29E97DCE" w14:textId="77777777" w:rsidR="002C5D72" w:rsidRDefault="00000000">
            <w:pPr>
              <w:jc w:val="both"/>
              <w:rPr>
                <w:szCs w:val="24"/>
              </w:rPr>
            </w:pPr>
            <w:r>
              <w:rPr>
                <w:szCs w:val="24"/>
              </w:rPr>
              <w:t>70.8±11.8</w:t>
            </w:r>
          </w:p>
        </w:tc>
        <w:tc>
          <w:tcPr>
            <w:tcW w:w="2313" w:type="dxa"/>
            <w:shd w:val="clear" w:color="auto" w:fill="auto"/>
          </w:tcPr>
          <w:p w14:paraId="7D8C141C" w14:textId="77777777" w:rsidR="002C5D72" w:rsidRDefault="00000000">
            <w:pPr>
              <w:jc w:val="both"/>
              <w:rPr>
                <w:szCs w:val="24"/>
              </w:rPr>
            </w:pPr>
            <w:r>
              <w:rPr>
                <w:szCs w:val="24"/>
              </w:rPr>
              <w:t>88.2±4.6</w:t>
            </w:r>
          </w:p>
        </w:tc>
        <w:tc>
          <w:tcPr>
            <w:tcW w:w="2313" w:type="dxa"/>
            <w:shd w:val="clear" w:color="auto" w:fill="auto"/>
          </w:tcPr>
          <w:p w14:paraId="01EC80B8" w14:textId="77777777" w:rsidR="002C5D72" w:rsidRDefault="00000000">
            <w:pPr>
              <w:jc w:val="both"/>
              <w:rPr>
                <w:szCs w:val="24"/>
              </w:rPr>
            </w:pPr>
            <w:r>
              <w:rPr>
                <w:szCs w:val="24"/>
              </w:rPr>
              <w:t>94.9±2.3</w:t>
            </w:r>
          </w:p>
        </w:tc>
      </w:tr>
      <w:tr w:rsidR="002C5D72" w14:paraId="12129E18" w14:textId="77777777">
        <w:tc>
          <w:tcPr>
            <w:tcW w:w="2326" w:type="dxa"/>
            <w:shd w:val="clear" w:color="auto" w:fill="auto"/>
          </w:tcPr>
          <w:p w14:paraId="0F7A5309" w14:textId="77777777" w:rsidR="002C5D72" w:rsidRDefault="00000000">
            <w:pPr>
              <w:jc w:val="both"/>
              <w:rPr>
                <w:szCs w:val="24"/>
              </w:rPr>
            </w:pPr>
            <w:r>
              <w:rPr>
                <w:i/>
                <w:iCs/>
                <w:szCs w:val="24"/>
              </w:rPr>
              <w:t>Pseudomonas</w:t>
            </w:r>
            <w:r>
              <w:rPr>
                <w:szCs w:val="24"/>
              </w:rPr>
              <w:t xml:space="preserve"> spp.</w:t>
            </w:r>
          </w:p>
        </w:tc>
        <w:tc>
          <w:tcPr>
            <w:tcW w:w="2314" w:type="dxa"/>
            <w:shd w:val="clear" w:color="auto" w:fill="auto"/>
          </w:tcPr>
          <w:p w14:paraId="62D04859" w14:textId="77777777" w:rsidR="002C5D72" w:rsidRDefault="00000000">
            <w:pPr>
              <w:jc w:val="both"/>
              <w:rPr>
                <w:szCs w:val="24"/>
              </w:rPr>
            </w:pPr>
            <w:r>
              <w:rPr>
                <w:szCs w:val="24"/>
              </w:rPr>
              <w:t>79.5±2.6</w:t>
            </w:r>
          </w:p>
        </w:tc>
        <w:tc>
          <w:tcPr>
            <w:tcW w:w="2313" w:type="dxa"/>
            <w:shd w:val="clear" w:color="auto" w:fill="auto"/>
          </w:tcPr>
          <w:p w14:paraId="6B74747E" w14:textId="77777777" w:rsidR="002C5D72" w:rsidRDefault="00000000">
            <w:pPr>
              <w:jc w:val="both"/>
              <w:rPr>
                <w:szCs w:val="24"/>
              </w:rPr>
            </w:pPr>
            <w:r>
              <w:rPr>
                <w:szCs w:val="24"/>
              </w:rPr>
              <w:t>92.4±1.3</w:t>
            </w:r>
          </w:p>
        </w:tc>
        <w:tc>
          <w:tcPr>
            <w:tcW w:w="2313" w:type="dxa"/>
            <w:shd w:val="clear" w:color="auto" w:fill="auto"/>
          </w:tcPr>
          <w:p w14:paraId="6DA5F0C5" w14:textId="77777777" w:rsidR="002C5D72" w:rsidRDefault="00000000">
            <w:pPr>
              <w:jc w:val="both"/>
              <w:rPr>
                <w:szCs w:val="24"/>
              </w:rPr>
            </w:pPr>
            <w:r>
              <w:rPr>
                <w:szCs w:val="24"/>
              </w:rPr>
              <w:t>96.7±0.1</w:t>
            </w:r>
          </w:p>
        </w:tc>
      </w:tr>
      <w:tr w:rsidR="002C5D72" w14:paraId="6C03FD19" w14:textId="77777777">
        <w:tc>
          <w:tcPr>
            <w:tcW w:w="2326" w:type="dxa"/>
            <w:shd w:val="clear" w:color="auto" w:fill="auto"/>
          </w:tcPr>
          <w:p w14:paraId="6F47C12D" w14:textId="77777777" w:rsidR="002C5D72" w:rsidRDefault="00000000">
            <w:pPr>
              <w:jc w:val="both"/>
              <w:rPr>
                <w:szCs w:val="24"/>
              </w:rPr>
            </w:pPr>
            <w:r>
              <w:rPr>
                <w:i/>
                <w:iCs/>
                <w:szCs w:val="24"/>
              </w:rPr>
              <w:t>Proteus</w:t>
            </w:r>
            <w:r>
              <w:rPr>
                <w:szCs w:val="24"/>
              </w:rPr>
              <w:t xml:space="preserve"> spp.</w:t>
            </w:r>
          </w:p>
        </w:tc>
        <w:tc>
          <w:tcPr>
            <w:tcW w:w="2314" w:type="dxa"/>
            <w:shd w:val="clear" w:color="auto" w:fill="auto"/>
          </w:tcPr>
          <w:p w14:paraId="2ECADFF9" w14:textId="77777777" w:rsidR="002C5D72" w:rsidRDefault="00000000">
            <w:pPr>
              <w:jc w:val="both"/>
              <w:rPr>
                <w:szCs w:val="24"/>
              </w:rPr>
            </w:pPr>
            <w:r>
              <w:rPr>
                <w:szCs w:val="24"/>
              </w:rPr>
              <w:t>80.0±4.4</w:t>
            </w:r>
          </w:p>
        </w:tc>
        <w:tc>
          <w:tcPr>
            <w:tcW w:w="2313" w:type="dxa"/>
            <w:shd w:val="clear" w:color="auto" w:fill="auto"/>
          </w:tcPr>
          <w:p w14:paraId="37FF1A6A" w14:textId="77777777" w:rsidR="002C5D72" w:rsidRDefault="00000000">
            <w:pPr>
              <w:jc w:val="both"/>
              <w:rPr>
                <w:szCs w:val="24"/>
              </w:rPr>
            </w:pPr>
            <w:r>
              <w:rPr>
                <w:szCs w:val="24"/>
              </w:rPr>
              <w:t>91.5±2.2</w:t>
            </w:r>
          </w:p>
        </w:tc>
        <w:tc>
          <w:tcPr>
            <w:tcW w:w="2313" w:type="dxa"/>
            <w:shd w:val="clear" w:color="auto" w:fill="auto"/>
          </w:tcPr>
          <w:p w14:paraId="50A52EDF" w14:textId="77777777" w:rsidR="002C5D72" w:rsidRDefault="00000000">
            <w:pPr>
              <w:jc w:val="both"/>
              <w:rPr>
                <w:szCs w:val="24"/>
              </w:rPr>
            </w:pPr>
            <w:r>
              <w:rPr>
                <w:szCs w:val="24"/>
              </w:rPr>
              <w:t>96.2±0.8</w:t>
            </w:r>
          </w:p>
        </w:tc>
      </w:tr>
      <w:tr w:rsidR="002C5D72" w14:paraId="0DB469DC" w14:textId="77777777">
        <w:tc>
          <w:tcPr>
            <w:tcW w:w="2326" w:type="dxa"/>
            <w:shd w:val="clear" w:color="auto" w:fill="auto"/>
          </w:tcPr>
          <w:p w14:paraId="70118AFC" w14:textId="77777777" w:rsidR="002C5D72" w:rsidRDefault="00000000">
            <w:pPr>
              <w:jc w:val="both"/>
              <w:rPr>
                <w:szCs w:val="24"/>
              </w:rPr>
            </w:pPr>
            <w:r>
              <w:rPr>
                <w:i/>
                <w:iCs/>
                <w:szCs w:val="24"/>
              </w:rPr>
              <w:t>Klebsiella</w:t>
            </w:r>
            <w:r>
              <w:rPr>
                <w:szCs w:val="24"/>
              </w:rPr>
              <w:t xml:space="preserve"> spp.</w:t>
            </w:r>
          </w:p>
        </w:tc>
        <w:tc>
          <w:tcPr>
            <w:tcW w:w="2314" w:type="dxa"/>
            <w:shd w:val="clear" w:color="auto" w:fill="auto"/>
          </w:tcPr>
          <w:p w14:paraId="6C0DDCC1" w14:textId="77777777" w:rsidR="002C5D72" w:rsidRDefault="00000000">
            <w:pPr>
              <w:jc w:val="both"/>
              <w:rPr>
                <w:szCs w:val="24"/>
              </w:rPr>
            </w:pPr>
            <w:r>
              <w:rPr>
                <w:szCs w:val="24"/>
              </w:rPr>
              <w:t>73.6±13.9</w:t>
            </w:r>
          </w:p>
        </w:tc>
        <w:tc>
          <w:tcPr>
            <w:tcW w:w="2313" w:type="dxa"/>
            <w:shd w:val="clear" w:color="auto" w:fill="auto"/>
          </w:tcPr>
          <w:p w14:paraId="6ADAD803" w14:textId="77777777" w:rsidR="002C5D72" w:rsidRDefault="00000000">
            <w:pPr>
              <w:jc w:val="both"/>
              <w:rPr>
                <w:szCs w:val="24"/>
              </w:rPr>
            </w:pPr>
            <w:r>
              <w:rPr>
                <w:szCs w:val="24"/>
              </w:rPr>
              <w:t>88.8±6.2</w:t>
            </w:r>
          </w:p>
        </w:tc>
        <w:tc>
          <w:tcPr>
            <w:tcW w:w="2313" w:type="dxa"/>
            <w:shd w:val="clear" w:color="auto" w:fill="auto"/>
          </w:tcPr>
          <w:p w14:paraId="689DEDB0" w14:textId="77777777" w:rsidR="002C5D72" w:rsidRDefault="00000000">
            <w:pPr>
              <w:jc w:val="both"/>
              <w:rPr>
                <w:szCs w:val="24"/>
              </w:rPr>
            </w:pPr>
            <w:r>
              <w:rPr>
                <w:szCs w:val="24"/>
              </w:rPr>
              <w:t>96.2±0.5</w:t>
            </w:r>
          </w:p>
        </w:tc>
      </w:tr>
      <w:tr w:rsidR="002C5D72" w14:paraId="5F613A6B" w14:textId="77777777">
        <w:tc>
          <w:tcPr>
            <w:tcW w:w="2326" w:type="dxa"/>
            <w:shd w:val="clear" w:color="auto" w:fill="auto"/>
          </w:tcPr>
          <w:p w14:paraId="5D4DC622" w14:textId="77777777" w:rsidR="002C5D72" w:rsidRDefault="00000000">
            <w:pPr>
              <w:jc w:val="both"/>
              <w:rPr>
                <w:szCs w:val="24"/>
              </w:rPr>
            </w:pPr>
            <w:r>
              <w:rPr>
                <w:i/>
                <w:iCs/>
                <w:szCs w:val="24"/>
              </w:rPr>
              <w:t>Staphylococcus</w:t>
            </w:r>
            <w:r>
              <w:rPr>
                <w:szCs w:val="24"/>
              </w:rPr>
              <w:t>. Spp.</w:t>
            </w:r>
          </w:p>
        </w:tc>
        <w:tc>
          <w:tcPr>
            <w:tcW w:w="2314" w:type="dxa"/>
            <w:shd w:val="clear" w:color="auto" w:fill="auto"/>
          </w:tcPr>
          <w:p w14:paraId="0BB6DC73" w14:textId="77777777" w:rsidR="002C5D72" w:rsidRDefault="00000000">
            <w:pPr>
              <w:jc w:val="both"/>
              <w:rPr>
                <w:szCs w:val="24"/>
              </w:rPr>
            </w:pPr>
            <w:r>
              <w:rPr>
                <w:szCs w:val="24"/>
              </w:rPr>
              <w:t>74.2±10.7</w:t>
            </w:r>
          </w:p>
        </w:tc>
        <w:tc>
          <w:tcPr>
            <w:tcW w:w="2313" w:type="dxa"/>
            <w:shd w:val="clear" w:color="auto" w:fill="auto"/>
          </w:tcPr>
          <w:p w14:paraId="0133CFF1" w14:textId="77777777" w:rsidR="002C5D72" w:rsidRDefault="00000000">
            <w:pPr>
              <w:jc w:val="both"/>
              <w:rPr>
                <w:szCs w:val="24"/>
              </w:rPr>
            </w:pPr>
            <w:r>
              <w:rPr>
                <w:szCs w:val="24"/>
              </w:rPr>
              <w:t>89.2±4.6</w:t>
            </w:r>
          </w:p>
        </w:tc>
        <w:tc>
          <w:tcPr>
            <w:tcW w:w="2313" w:type="dxa"/>
            <w:shd w:val="clear" w:color="auto" w:fill="auto"/>
          </w:tcPr>
          <w:p w14:paraId="3BBD11D0" w14:textId="77777777" w:rsidR="002C5D72" w:rsidRDefault="00000000">
            <w:pPr>
              <w:jc w:val="both"/>
              <w:rPr>
                <w:szCs w:val="24"/>
              </w:rPr>
            </w:pPr>
            <w:r>
              <w:rPr>
                <w:szCs w:val="24"/>
              </w:rPr>
              <w:t>95.5±1.7</w:t>
            </w:r>
          </w:p>
        </w:tc>
      </w:tr>
    </w:tbl>
    <w:bookmarkEnd w:id="19"/>
    <w:p w14:paraId="300B08B8" w14:textId="77777777" w:rsidR="002C5D72" w:rsidRDefault="00000000">
      <w:pPr>
        <w:jc w:val="both"/>
        <w:rPr>
          <w:szCs w:val="24"/>
        </w:rPr>
      </w:pPr>
      <w:r>
        <w:rPr>
          <w:szCs w:val="24"/>
        </w:rPr>
        <w:t>Key:</w:t>
      </w:r>
    </w:p>
    <w:p w14:paraId="325A3943" w14:textId="77777777" w:rsidR="002C5D72" w:rsidRDefault="00000000">
      <w:pPr>
        <w:jc w:val="both"/>
        <w:rPr>
          <w:szCs w:val="24"/>
        </w:rPr>
      </w:pPr>
      <w:r>
        <w:rPr>
          <w:szCs w:val="24"/>
        </w:rPr>
        <w:t>A: sub-MIC [</w:t>
      </w:r>
      <w:r>
        <w:rPr>
          <w:i/>
          <w:iCs/>
          <w:szCs w:val="24"/>
        </w:rPr>
        <w:t>Proteus</w:t>
      </w:r>
      <w:r>
        <w:rPr>
          <w:szCs w:val="24"/>
        </w:rPr>
        <w:t xml:space="preserve">  and </w:t>
      </w:r>
      <w:r>
        <w:rPr>
          <w:i/>
          <w:iCs/>
          <w:szCs w:val="24"/>
        </w:rPr>
        <w:t>Klebsiella</w:t>
      </w:r>
      <w:r>
        <w:rPr>
          <w:szCs w:val="24"/>
        </w:rPr>
        <w:t xml:space="preserve"> spp. (1.56mg/ml), </w:t>
      </w:r>
      <w:r>
        <w:rPr>
          <w:i/>
          <w:iCs/>
          <w:szCs w:val="24"/>
        </w:rPr>
        <w:t>Staphylococcus</w:t>
      </w:r>
      <w:r>
        <w:rPr>
          <w:szCs w:val="24"/>
        </w:rPr>
        <w:t xml:space="preserve"> and </w:t>
      </w:r>
      <w:r>
        <w:rPr>
          <w:i/>
          <w:iCs/>
          <w:szCs w:val="24"/>
        </w:rPr>
        <w:t>Pseudomonas</w:t>
      </w:r>
      <w:r>
        <w:rPr>
          <w:szCs w:val="24"/>
        </w:rPr>
        <w:t xml:space="preserve"> (3.125mg/ml), </w:t>
      </w:r>
      <w:r>
        <w:rPr>
          <w:i/>
          <w:iCs/>
          <w:szCs w:val="24"/>
        </w:rPr>
        <w:t>E.coli</w:t>
      </w:r>
      <w:r>
        <w:rPr>
          <w:szCs w:val="24"/>
        </w:rPr>
        <w:t xml:space="preserve"> (6.25mg/ml)]</w:t>
      </w:r>
    </w:p>
    <w:p w14:paraId="4A537E94" w14:textId="77777777" w:rsidR="002C5D72" w:rsidRDefault="00000000">
      <w:pPr>
        <w:jc w:val="both"/>
        <w:rPr>
          <w:szCs w:val="24"/>
        </w:rPr>
      </w:pPr>
      <w:r>
        <w:rPr>
          <w:szCs w:val="24"/>
        </w:rPr>
        <w:t>B: MIC [</w:t>
      </w:r>
      <w:r>
        <w:rPr>
          <w:i/>
          <w:iCs/>
          <w:szCs w:val="24"/>
        </w:rPr>
        <w:t>Proteus</w:t>
      </w:r>
      <w:r>
        <w:rPr>
          <w:szCs w:val="24"/>
        </w:rPr>
        <w:t xml:space="preserve">  and </w:t>
      </w:r>
      <w:r>
        <w:rPr>
          <w:i/>
          <w:iCs/>
          <w:szCs w:val="24"/>
        </w:rPr>
        <w:t>Klebsiella</w:t>
      </w:r>
      <w:r>
        <w:rPr>
          <w:szCs w:val="24"/>
        </w:rPr>
        <w:t xml:space="preserve"> spp. (3.125mg/ml), </w:t>
      </w:r>
      <w:r>
        <w:rPr>
          <w:i/>
          <w:iCs/>
          <w:szCs w:val="24"/>
        </w:rPr>
        <w:t>Staphylococcus</w:t>
      </w:r>
      <w:r>
        <w:rPr>
          <w:szCs w:val="24"/>
        </w:rPr>
        <w:t xml:space="preserve"> and </w:t>
      </w:r>
      <w:r>
        <w:rPr>
          <w:i/>
          <w:iCs/>
          <w:szCs w:val="24"/>
        </w:rPr>
        <w:t>Pseudomonas</w:t>
      </w:r>
      <w:r>
        <w:rPr>
          <w:szCs w:val="24"/>
        </w:rPr>
        <w:t xml:space="preserve"> spp. (6.25mg/ml), </w:t>
      </w:r>
      <w:r>
        <w:rPr>
          <w:i/>
          <w:iCs/>
          <w:szCs w:val="24"/>
        </w:rPr>
        <w:t>E.coli</w:t>
      </w:r>
      <w:r>
        <w:rPr>
          <w:szCs w:val="24"/>
        </w:rPr>
        <w:t xml:space="preserve"> (12.5mg/ml)]</w:t>
      </w:r>
    </w:p>
    <w:p w14:paraId="002BD94C" w14:textId="77777777" w:rsidR="002C5D72" w:rsidRDefault="00000000">
      <w:pPr>
        <w:jc w:val="both"/>
        <w:rPr>
          <w:b/>
        </w:rPr>
      </w:pPr>
      <w:r>
        <w:rPr>
          <w:szCs w:val="24"/>
        </w:rPr>
        <w:t>C: sub-MBC [</w:t>
      </w:r>
      <w:r>
        <w:rPr>
          <w:i/>
          <w:iCs/>
          <w:szCs w:val="24"/>
        </w:rPr>
        <w:t>Staphylococcus</w:t>
      </w:r>
      <w:r>
        <w:rPr>
          <w:szCs w:val="24"/>
        </w:rPr>
        <w:t xml:space="preserve"> and </w:t>
      </w:r>
      <w:r>
        <w:rPr>
          <w:i/>
          <w:iCs/>
          <w:szCs w:val="24"/>
        </w:rPr>
        <w:t>Klebsiella</w:t>
      </w:r>
      <w:r>
        <w:rPr>
          <w:szCs w:val="24"/>
        </w:rPr>
        <w:t xml:space="preserve"> spp. (3.125mg/ml), </w:t>
      </w:r>
      <w:r>
        <w:rPr>
          <w:i/>
          <w:iCs/>
          <w:szCs w:val="24"/>
        </w:rPr>
        <w:t>E.coli</w:t>
      </w:r>
      <w:r>
        <w:rPr>
          <w:szCs w:val="24"/>
        </w:rPr>
        <w:t xml:space="preserve">, </w:t>
      </w:r>
      <w:r>
        <w:rPr>
          <w:i/>
          <w:iCs/>
          <w:szCs w:val="24"/>
        </w:rPr>
        <w:t>Proteus</w:t>
      </w:r>
      <w:r>
        <w:rPr>
          <w:szCs w:val="24"/>
        </w:rPr>
        <w:t xml:space="preserve"> and </w:t>
      </w:r>
      <w:r>
        <w:rPr>
          <w:i/>
          <w:iCs/>
          <w:szCs w:val="24"/>
        </w:rPr>
        <w:t>Pseudomonas</w:t>
      </w:r>
      <w:r>
        <w:rPr>
          <w:szCs w:val="24"/>
        </w:rPr>
        <w:t xml:space="preserve"> (6.25mg/ml)]</w:t>
      </w:r>
    </w:p>
    <w:p w14:paraId="2D3BF0CF" w14:textId="77777777" w:rsidR="002C5D72" w:rsidRDefault="002C5D72">
      <w:pPr>
        <w:spacing w:line="240" w:lineRule="auto"/>
        <w:jc w:val="both"/>
        <w:rPr>
          <w:bCs/>
          <w:szCs w:val="24"/>
        </w:rPr>
      </w:pPr>
    </w:p>
    <w:p w14:paraId="6F91F184" w14:textId="77777777" w:rsidR="002C5D72" w:rsidRDefault="00000000">
      <w:pPr>
        <w:rPr>
          <w:b/>
          <w:bCs/>
          <w:lang w:val="en-US"/>
        </w:rPr>
      </w:pPr>
      <w:r>
        <w:rPr>
          <w:b/>
          <w:bCs/>
          <w:lang w:val="en-US"/>
        </w:rPr>
        <w:t>DISCUSSION</w:t>
      </w:r>
    </w:p>
    <w:p w14:paraId="4CEB45A5" w14:textId="77777777" w:rsidR="002C5D72" w:rsidRDefault="00000000">
      <w:pPr>
        <w:spacing w:after="0" w:line="480" w:lineRule="auto"/>
        <w:jc w:val="both"/>
      </w:pPr>
      <w:r>
        <w:rPr>
          <w:i/>
          <w:iCs/>
        </w:rPr>
        <w:t>Parkia biglobosa</w:t>
      </w:r>
      <w:r>
        <w:t xml:space="preserve"> (Jacq.) Benth is a multipurpose plant with wide scale economic, health and ornamental uses in many parts of West Africa. Its documented use for treatment of various diseases across the region is enormous. </w:t>
      </w:r>
    </w:p>
    <w:p w14:paraId="78DBABF8" w14:textId="77777777" w:rsidR="002C5D72" w:rsidRDefault="00000000">
      <w:pPr>
        <w:spacing w:after="0" w:line="480" w:lineRule="auto"/>
        <w:ind w:right="-46"/>
        <w:jc w:val="both"/>
      </w:pPr>
      <w:r>
        <w:t xml:space="preserve">The antibacterial activity of the aqueous fraction from stem-bark methanol  extract of </w:t>
      </w:r>
      <w:r>
        <w:rPr>
          <w:i/>
          <w:iCs/>
        </w:rPr>
        <w:t xml:space="preserve">Parkia biglobosa </w:t>
      </w:r>
      <w:r>
        <w:t xml:space="preserve">against the various isolates of chronic wounds is concentration-dependent as activity increased with increasing concentration of the fraction. This result is similar to previous studies reported by Udobi and Onaolapo, (2010) against a range of Gram-positive and Gram-negative bacterial isolates using stem-bark methanol extract,  Jauro </w:t>
      </w:r>
      <w:r>
        <w:rPr>
          <w:i/>
          <w:iCs/>
        </w:rPr>
        <w:t>et al.,</w:t>
      </w:r>
      <w:r>
        <w:t xml:space="preserve"> (2018) against methicillin-resistant  </w:t>
      </w:r>
      <w:r>
        <w:rPr>
          <w:i/>
          <w:iCs/>
        </w:rPr>
        <w:t xml:space="preserve">Staphylococcus aureus </w:t>
      </w:r>
      <w:r>
        <w:t xml:space="preserve">(MRSA) using methanol extract of the leaf of </w:t>
      </w:r>
      <w:r>
        <w:rPr>
          <w:i/>
          <w:iCs/>
        </w:rPr>
        <w:t xml:space="preserve">Parkia biglobosa. </w:t>
      </w:r>
      <w:r>
        <w:lastRenderedPageBreak/>
        <w:t xml:space="preserve">This may be attributable to the numerous secondary metabolites such as flavonoids, saponins, phenols, terpenoids, etc which reportedly possess antibacterial and antioxidant properties. This effect was comparable to those of conventional antibiotics such as Gentamicin and Ciprofloxacin which were used as reference standards. Similar effect was observed by </w:t>
      </w:r>
      <w:bookmarkStart w:id="20" w:name="_Hlk172023916"/>
      <w:r>
        <w:t xml:space="preserve">Osuntokun </w:t>
      </w:r>
      <w:r>
        <w:rPr>
          <w:i/>
          <w:iCs/>
        </w:rPr>
        <w:t>et al.,</w:t>
      </w:r>
      <w:r>
        <w:t xml:space="preserve"> (2018</w:t>
      </w:r>
      <w:bookmarkEnd w:id="20"/>
      <w:r>
        <w:t xml:space="preserve">) in a comparative study of </w:t>
      </w:r>
      <w:r>
        <w:rPr>
          <w:i/>
          <w:iCs/>
        </w:rPr>
        <w:t>Parkia biglobosa</w:t>
      </w:r>
      <w:r>
        <w:t xml:space="preserve"> and conventional antibiotics against multidrug resistant uropathogenic bacteria in which they reported an ‘outstanding and overwhelming’  activity attributed to the presence of phytochemicals present in the plant. This plant has also been used in traditional medicine to treat wounds (Builders, 2014; Musara </w:t>
      </w:r>
      <w:r>
        <w:rPr>
          <w:i/>
          <w:iCs/>
        </w:rPr>
        <w:t>et al</w:t>
      </w:r>
      <w:r>
        <w:t xml:space="preserve">., 2020; </w:t>
      </w:r>
      <w:bookmarkStart w:id="21" w:name="_Hlk172024267"/>
      <w:r>
        <w:t xml:space="preserve">Saleh </w:t>
      </w:r>
      <w:r>
        <w:rPr>
          <w:i/>
          <w:iCs/>
        </w:rPr>
        <w:t>et al</w:t>
      </w:r>
      <w:r>
        <w:t>., 2021</w:t>
      </w:r>
      <w:bookmarkEnd w:id="21"/>
      <w:r>
        <w:t xml:space="preserve">). Antibacterial activity against all the isolates tested was concentration-dependent as higher concentration produced greater activity with a minimum inhibitory concentration against respective pathogens ranging between 3.125-6.25mg/ml against </w:t>
      </w:r>
      <w:r>
        <w:rPr>
          <w:i/>
          <w:iCs/>
        </w:rPr>
        <w:t>Proteus</w:t>
      </w:r>
      <w:r>
        <w:t xml:space="preserve"> and </w:t>
      </w:r>
      <w:r>
        <w:rPr>
          <w:i/>
          <w:iCs/>
        </w:rPr>
        <w:t>Klebsiella</w:t>
      </w:r>
      <w:r>
        <w:t xml:space="preserve"> species, and 6.25-12.5mg/ml against </w:t>
      </w:r>
      <w:r>
        <w:rPr>
          <w:i/>
          <w:iCs/>
        </w:rPr>
        <w:t>Staphylococcus</w:t>
      </w:r>
      <w:r>
        <w:t xml:space="preserve"> and </w:t>
      </w:r>
      <w:r>
        <w:rPr>
          <w:i/>
          <w:iCs/>
        </w:rPr>
        <w:t>Pseudomonas</w:t>
      </w:r>
      <w:r>
        <w:t xml:space="preserve"> species, and 12.5-25.0mg/ml against </w:t>
      </w:r>
      <w:r>
        <w:rPr>
          <w:i/>
          <w:iCs/>
        </w:rPr>
        <w:t>E. coli</w:t>
      </w:r>
      <w:r>
        <w:t xml:space="preserve">. The observed zones of inhibition were highest for </w:t>
      </w:r>
      <w:r>
        <w:rPr>
          <w:i/>
          <w:iCs/>
        </w:rPr>
        <w:t xml:space="preserve">Proteus, Klebsiella </w:t>
      </w:r>
      <w:r>
        <w:t>and</w:t>
      </w:r>
      <w:r>
        <w:rPr>
          <w:i/>
          <w:iCs/>
        </w:rPr>
        <w:t xml:space="preserve"> Staphylococcus</w:t>
      </w:r>
      <w:r>
        <w:t xml:space="preserve"> species as concentration increased and often higher or comparable to those of conventional antibiotics; gentamicin and ciprofloxacin. Thus, indicating that the fraction is both bacteriostatic and bactericidal at different concentrations and the MBC not more than four times MIC for all the isolates tested. This result is similar to</w:t>
      </w:r>
      <w:bookmarkStart w:id="22" w:name="_Hlk172024297"/>
      <w:r>
        <w:t xml:space="preserve"> Udobi and Onaolapo (2010) </w:t>
      </w:r>
      <w:bookmarkEnd w:id="22"/>
      <w:r>
        <w:t xml:space="preserve">in which they tested the aqueous fraction from stem-bark methanol of </w:t>
      </w:r>
      <w:r>
        <w:rPr>
          <w:i/>
          <w:iCs/>
        </w:rPr>
        <w:t>Parkia biglobosa</w:t>
      </w:r>
      <w:r>
        <w:t xml:space="preserve"> against four reference organisms and obtained an MIC ranging from 1.562-25.0mg/ml with the highest MIC against </w:t>
      </w:r>
      <w:r>
        <w:rPr>
          <w:i/>
          <w:iCs/>
        </w:rPr>
        <w:t>Escherichia coli</w:t>
      </w:r>
      <w:r>
        <w:t xml:space="preserve"> and highest zone of inhibition against </w:t>
      </w:r>
      <w:r>
        <w:rPr>
          <w:i/>
          <w:iCs/>
        </w:rPr>
        <w:t xml:space="preserve">Staphylococcus aureus. </w:t>
      </w:r>
      <w:r>
        <w:t xml:space="preserve">Osemwegie and Dahunsi, (2015) equally reported zones of inhibition were concentration-dependent. The antibacterial activity observed in this study further confirms the traditional use of the plant in the treatment of infections in many parts of Africa  where the plant is domiciled and also shows it has </w:t>
      </w:r>
      <w:r>
        <w:lastRenderedPageBreak/>
        <w:t>a wide spectrum of activities against both Gram-positive and Gram-negative bacteria (</w:t>
      </w:r>
      <w:bookmarkStart w:id="23" w:name="_Hlk172024332"/>
      <w:r>
        <w:t xml:space="preserve">Ologundudu </w:t>
      </w:r>
      <w:r>
        <w:rPr>
          <w:i/>
          <w:iCs/>
        </w:rPr>
        <w:t>et al</w:t>
      </w:r>
      <w:r>
        <w:t>., 2018</w:t>
      </w:r>
      <w:bookmarkEnd w:id="23"/>
      <w:r>
        <w:t xml:space="preserve">) thereby confirming previous studies by Udobi and Onaolapo, (2009); </w:t>
      </w:r>
      <w:bookmarkStart w:id="24" w:name="_Hlk164426787"/>
      <w:r>
        <w:t xml:space="preserve">Abioye </w:t>
      </w:r>
      <w:r>
        <w:rPr>
          <w:i/>
          <w:iCs/>
        </w:rPr>
        <w:t>et al</w:t>
      </w:r>
      <w:r>
        <w:t>., (2013</w:t>
      </w:r>
      <w:bookmarkEnd w:id="24"/>
      <w:r>
        <w:t xml:space="preserve">); </w:t>
      </w:r>
      <w:bookmarkStart w:id="25" w:name="_Hlk172024355"/>
      <w:r>
        <w:t xml:space="preserve">Obajuluwa </w:t>
      </w:r>
      <w:r>
        <w:rPr>
          <w:i/>
          <w:iCs/>
        </w:rPr>
        <w:t>et al</w:t>
      </w:r>
      <w:r>
        <w:t>., (2013</w:t>
      </w:r>
      <w:bookmarkEnd w:id="25"/>
      <w:r>
        <w:t xml:space="preserve">); Osuntokun </w:t>
      </w:r>
      <w:r>
        <w:rPr>
          <w:i/>
          <w:iCs/>
        </w:rPr>
        <w:t>et al</w:t>
      </w:r>
      <w:r>
        <w:t xml:space="preserve">., (2018); </w:t>
      </w:r>
      <w:bookmarkStart w:id="26" w:name="_Hlk172024374"/>
      <w:r>
        <w:t xml:space="preserve">Ihuma </w:t>
      </w:r>
      <w:r>
        <w:rPr>
          <w:i/>
          <w:iCs/>
        </w:rPr>
        <w:t>et al</w:t>
      </w:r>
      <w:r>
        <w:t>., (2022</w:t>
      </w:r>
      <w:bookmarkEnd w:id="26"/>
      <w:r>
        <w:t>).</w:t>
      </w:r>
    </w:p>
    <w:p w14:paraId="1E6151EA" w14:textId="77777777" w:rsidR="002C5D72" w:rsidRDefault="00000000">
      <w:pPr>
        <w:spacing w:after="0" w:line="480" w:lineRule="auto"/>
        <w:jc w:val="both"/>
      </w:pPr>
      <w:r>
        <w:t>Aqueous fraction from stem-bark methanol extract</w:t>
      </w:r>
      <w:r>
        <w:rPr>
          <w:i/>
          <w:iCs/>
        </w:rPr>
        <w:t xml:space="preserve"> </w:t>
      </w:r>
      <w:r>
        <w:t xml:space="preserve">of </w:t>
      </w:r>
      <w:r>
        <w:rPr>
          <w:i/>
          <w:iCs/>
        </w:rPr>
        <w:t>Parkia biglobosa</w:t>
      </w:r>
      <w:r>
        <w:t xml:space="preserve"> showed a high biofilm inhibition and antibiofilm activity above 50% against the test isolates as well as the control, </w:t>
      </w:r>
      <w:r>
        <w:rPr>
          <w:i/>
          <w:iCs/>
        </w:rPr>
        <w:t>Pseudomonas aeruginosa</w:t>
      </w:r>
      <w:r>
        <w:t xml:space="preserve"> ATCC 27853 and at all concentrations used (half-MIC, MIC and half-MBC). There was a significant association between biofilm inhibition and concentrations used for all bacterial species tested (p&lt;0.05) except </w:t>
      </w:r>
      <w:r>
        <w:rPr>
          <w:i/>
          <w:iCs/>
        </w:rPr>
        <w:t>Pseudomonas</w:t>
      </w:r>
      <w:r>
        <w:t xml:space="preserve"> spp.  </w:t>
      </w:r>
      <w:bookmarkStart w:id="27" w:name="_Hlk172024406"/>
      <w:r>
        <w:t xml:space="preserve">Builders </w:t>
      </w:r>
      <w:r>
        <w:rPr>
          <w:i/>
          <w:iCs/>
        </w:rPr>
        <w:t>et al</w:t>
      </w:r>
      <w:r>
        <w:t>., (2021</w:t>
      </w:r>
      <w:bookmarkEnd w:id="27"/>
      <w:r>
        <w:t xml:space="preserve">) reported the effectiveness of stem bark extract in the treatment of burn wounds. Adetutu </w:t>
      </w:r>
      <w:r>
        <w:rPr>
          <w:i/>
          <w:iCs/>
        </w:rPr>
        <w:t>et al.,</w:t>
      </w:r>
      <w:r>
        <w:t xml:space="preserve"> (2011) in an ethnopharmacological survey and </w:t>
      </w:r>
      <w:r>
        <w:rPr>
          <w:i/>
          <w:iCs/>
        </w:rPr>
        <w:t xml:space="preserve">in-vitro </w:t>
      </w:r>
      <w:r>
        <w:t xml:space="preserve">evaluation of wound-healing plants in south-west Nigeria, reported the stem-bark of </w:t>
      </w:r>
      <w:r>
        <w:rPr>
          <w:i/>
          <w:iCs/>
        </w:rPr>
        <w:t xml:space="preserve">Parkia biglobosa </w:t>
      </w:r>
      <w:r>
        <w:t xml:space="preserve">as one of the five most cited plants for treatment of wounds. In their report, ethanol extract of </w:t>
      </w:r>
      <w:r>
        <w:rPr>
          <w:i/>
          <w:iCs/>
        </w:rPr>
        <w:t>Parkia biglobosa</w:t>
      </w:r>
      <w:r>
        <w:t xml:space="preserve"> influenced dermal fibroblasts significantly at 15-30µg/ml against the tested isolates (Adetutu </w:t>
      </w:r>
      <w:r>
        <w:rPr>
          <w:i/>
          <w:iCs/>
        </w:rPr>
        <w:t xml:space="preserve">et al., </w:t>
      </w:r>
      <w:r>
        <w:t xml:space="preserve">2011). Our results further confirm the traditional use of the plant as medicine. This to the best of our knowledge is the first investigation on the antibiofilm activity of any part of </w:t>
      </w:r>
      <w:r>
        <w:rPr>
          <w:i/>
          <w:iCs/>
        </w:rPr>
        <w:t xml:space="preserve">Parkia biglobosa. </w:t>
      </w:r>
      <w:r>
        <w:t xml:space="preserve">The plant’s secondary metabolites possibly employ the same or similar mechanisms against bacterial virulence in biofilm inhibition to produce good antibiofilm activity.  </w:t>
      </w:r>
    </w:p>
    <w:p w14:paraId="16904B90" w14:textId="77777777" w:rsidR="002C5D72" w:rsidRDefault="002C5D72">
      <w:pPr>
        <w:spacing w:after="0" w:line="480" w:lineRule="auto"/>
        <w:jc w:val="both"/>
      </w:pPr>
    </w:p>
    <w:p w14:paraId="38AF86B7" w14:textId="77777777" w:rsidR="002C5D72" w:rsidRDefault="002C5D72">
      <w:pPr>
        <w:spacing w:after="0" w:line="480" w:lineRule="auto"/>
        <w:jc w:val="both"/>
        <w:rPr>
          <w:lang w:val="en-US"/>
        </w:rPr>
      </w:pPr>
    </w:p>
    <w:p w14:paraId="40CFE52F" w14:textId="77777777" w:rsidR="002C5D72" w:rsidRDefault="002C5D72">
      <w:pPr>
        <w:spacing w:after="0" w:line="480" w:lineRule="auto"/>
        <w:jc w:val="both"/>
        <w:rPr>
          <w:lang w:val="en-US"/>
        </w:rPr>
      </w:pPr>
    </w:p>
    <w:p w14:paraId="02981997" w14:textId="77777777" w:rsidR="002C5D72" w:rsidRDefault="002C5D72">
      <w:pPr>
        <w:spacing w:after="0" w:line="480" w:lineRule="auto"/>
        <w:jc w:val="both"/>
        <w:rPr>
          <w:lang w:val="en-US"/>
        </w:rPr>
      </w:pPr>
    </w:p>
    <w:p w14:paraId="201A5D58" w14:textId="77777777" w:rsidR="002C5D72" w:rsidRDefault="002C5D72">
      <w:pPr>
        <w:spacing w:after="0" w:line="480" w:lineRule="auto"/>
        <w:jc w:val="both"/>
        <w:rPr>
          <w:lang w:val="en-US"/>
        </w:rPr>
      </w:pPr>
    </w:p>
    <w:p w14:paraId="2E7BC83F" w14:textId="77777777" w:rsidR="002C5D72" w:rsidRDefault="002C5D72">
      <w:pPr>
        <w:spacing w:after="0" w:line="480" w:lineRule="auto"/>
        <w:jc w:val="both"/>
        <w:rPr>
          <w:lang w:val="en-US"/>
        </w:rPr>
      </w:pPr>
    </w:p>
    <w:p w14:paraId="5DBDEA1C" w14:textId="77777777" w:rsidR="002C5D72" w:rsidRDefault="00000000">
      <w:pPr>
        <w:spacing w:after="0" w:line="480" w:lineRule="auto"/>
        <w:jc w:val="both"/>
        <w:rPr>
          <w:b/>
          <w:bCs/>
          <w:lang w:val="en-US"/>
        </w:rPr>
      </w:pPr>
      <w:r>
        <w:rPr>
          <w:b/>
          <w:bCs/>
          <w:lang w:val="en-US"/>
        </w:rPr>
        <w:lastRenderedPageBreak/>
        <w:t>REFERENCES</w:t>
      </w:r>
    </w:p>
    <w:p w14:paraId="59CB0A1D" w14:textId="77777777" w:rsidR="002C5D72" w:rsidRDefault="00000000">
      <w:pPr>
        <w:rPr>
          <w:color w:val="212121"/>
          <w:shd w:val="clear" w:color="auto" w:fill="FFFFFF"/>
        </w:rPr>
      </w:pPr>
      <w:r>
        <w:rPr>
          <w:color w:val="212121"/>
          <w:shd w:val="clear" w:color="auto" w:fill="FFFFFF"/>
        </w:rPr>
        <w:t>Abioye, E. O., Akinpelu, D. A., Aiyegoro, O. A., Adegboye, M. F., Oni, M. O., &amp; Okoh, A. I.</w:t>
      </w:r>
      <w:r>
        <w:rPr>
          <w:color w:val="212121"/>
          <w:shd w:val="clear" w:color="auto" w:fill="FFFFFF"/>
        </w:rPr>
        <w:tab/>
        <w:t>(2013). Preliminary phytochemical screening and antibacterial properties of crude stem</w:t>
      </w:r>
      <w:r>
        <w:rPr>
          <w:color w:val="212121"/>
          <w:shd w:val="clear" w:color="auto" w:fill="FFFFFF"/>
        </w:rPr>
        <w:tab/>
        <w:t xml:space="preserve">bark extracts and fractions of </w:t>
      </w:r>
      <w:r>
        <w:rPr>
          <w:i/>
          <w:iCs/>
          <w:color w:val="212121"/>
          <w:shd w:val="clear" w:color="auto" w:fill="FFFFFF"/>
        </w:rPr>
        <w:t>Parkia biglobosa</w:t>
      </w:r>
      <w:r>
        <w:rPr>
          <w:color w:val="212121"/>
          <w:shd w:val="clear" w:color="auto" w:fill="FFFFFF"/>
        </w:rPr>
        <w:t xml:space="preserve"> (Jacq.). </w:t>
      </w:r>
      <w:r>
        <w:rPr>
          <w:i/>
          <w:iCs/>
          <w:color w:val="212121"/>
          <w:shd w:val="clear" w:color="auto" w:fill="FFFFFF"/>
        </w:rPr>
        <w:t>Molecules (Basel,</w:t>
      </w:r>
      <w:r>
        <w:rPr>
          <w:i/>
          <w:iCs/>
          <w:color w:val="212121"/>
          <w:shd w:val="clear" w:color="auto" w:fill="FFFFFF"/>
        </w:rPr>
        <w:tab/>
        <w:t>Switzerland)</w:t>
      </w:r>
      <w:r>
        <w:rPr>
          <w:color w:val="212121"/>
          <w:shd w:val="clear" w:color="auto" w:fill="FFFFFF"/>
        </w:rPr>
        <w:t>, </w:t>
      </w:r>
      <w:r>
        <w:rPr>
          <w:i/>
          <w:iCs/>
          <w:color w:val="212121"/>
          <w:shd w:val="clear" w:color="auto" w:fill="FFFFFF"/>
        </w:rPr>
        <w:t>18</w:t>
      </w:r>
      <w:r>
        <w:rPr>
          <w:color w:val="212121"/>
          <w:shd w:val="clear" w:color="auto" w:fill="FFFFFF"/>
        </w:rPr>
        <w:t xml:space="preserve">(7), 8485–8499. </w:t>
      </w:r>
      <w:hyperlink r:id="rId5" w:history="1">
        <w:r>
          <w:rPr>
            <w:rStyle w:val="Hyperlink"/>
            <w:shd w:val="clear" w:color="auto" w:fill="FFFFFF"/>
          </w:rPr>
          <w:t>https://doi.org/10.3390/molecules18078485</w:t>
        </w:r>
      </w:hyperlink>
    </w:p>
    <w:p w14:paraId="5D4FE17C" w14:textId="77777777" w:rsidR="002C5D72" w:rsidRDefault="00000000">
      <w:pPr>
        <w:spacing w:after="100" w:afterAutospacing="1"/>
        <w:ind w:right="-22"/>
        <w:jc w:val="both"/>
        <w:rPr>
          <w:color w:val="0563C1"/>
          <w:u w:val="single"/>
        </w:rPr>
      </w:pPr>
      <w:r>
        <w:t>Adaramola, T.F., Ariwaodo, J.O., and Adeniji, K.A. (2013). Distribution, Phytochemistry and</w:t>
      </w:r>
      <w:r>
        <w:tab/>
        <w:t>Antioxidant Properties of the Genus Parkia R.br. (Mimosaceae) in Nigeria.</w:t>
      </w:r>
      <w:r>
        <w:tab/>
      </w:r>
      <w:r>
        <w:rPr>
          <w:i/>
          <w:iCs/>
        </w:rPr>
        <w:t>International</w:t>
      </w:r>
      <w:r>
        <w:rPr>
          <w:i/>
          <w:iCs/>
        </w:rPr>
        <w:tab/>
        <w:t>Journal of Pharmacognosy and Phytochemical Research</w:t>
      </w:r>
      <w:r>
        <w:t xml:space="preserve"> 2012-13;</w:t>
      </w:r>
      <w:r>
        <w:tab/>
        <w:t>4(4);172-178.</w:t>
      </w:r>
      <w:r>
        <w:tab/>
      </w:r>
      <w:hyperlink r:id="rId6" w:history="1">
        <w:r>
          <w:rPr>
            <w:rStyle w:val="Hyperlink"/>
          </w:rPr>
          <w:t>www.ijppr.com</w:t>
        </w:r>
      </w:hyperlink>
    </w:p>
    <w:p w14:paraId="5C8A41EA" w14:textId="77777777" w:rsidR="002C5D72" w:rsidRDefault="00000000">
      <w:pPr>
        <w:shd w:val="clear" w:color="auto" w:fill="FFFFFF"/>
        <w:ind w:right="-22"/>
        <w:jc w:val="both"/>
        <w:rPr>
          <w:rFonts w:eastAsia="Times New Roman"/>
          <w:lang w:eastAsia="en-GB"/>
        </w:rPr>
      </w:pPr>
      <w:r>
        <w:rPr>
          <w:rFonts w:eastAsia="Times New Roman"/>
          <w:lang w:eastAsia="en-GB"/>
        </w:rPr>
        <w:t>Akin-Idowu, P. E., Aduloju, A. O., Akinyoola, O. I., Ibitoye, D. O., Orkpeh, U., Adebo, U.</w:t>
      </w:r>
      <w:r>
        <w:rPr>
          <w:rFonts w:eastAsia="Times New Roman"/>
          <w:lang w:eastAsia="en-GB"/>
        </w:rPr>
        <w:tab/>
        <w:t>G., and Olagunju, Y. O. (2021). Biodiversity assessment of African locust bean</w:t>
      </w:r>
      <w:r>
        <w:rPr>
          <w:rFonts w:eastAsia="Times New Roman"/>
          <w:lang w:eastAsia="en-GB"/>
        </w:rPr>
        <w:tab/>
        <w:t>(</w:t>
      </w:r>
      <w:r>
        <w:rPr>
          <w:rFonts w:eastAsia="Times New Roman"/>
          <w:i/>
          <w:iCs/>
          <w:lang w:eastAsia="en-GB"/>
        </w:rPr>
        <w:t>Parkia</w:t>
      </w:r>
      <w:r>
        <w:rPr>
          <w:rFonts w:eastAsia="Times New Roman"/>
          <w:i/>
          <w:iCs/>
          <w:lang w:eastAsia="en-GB"/>
        </w:rPr>
        <w:tab/>
        <w:t>biglobosa</w:t>
      </w:r>
      <w:r>
        <w:rPr>
          <w:rFonts w:eastAsia="Times New Roman"/>
          <w:lang w:eastAsia="en-GB"/>
        </w:rPr>
        <w:t>) accessions from Savanna and Forest zones of Nigeria as revealed</w:t>
      </w:r>
      <w:r>
        <w:rPr>
          <w:rFonts w:eastAsia="Times New Roman"/>
          <w:lang w:eastAsia="en-GB"/>
        </w:rPr>
        <w:tab/>
        <w:t>by seed</w:t>
      </w:r>
      <w:r>
        <w:rPr>
          <w:rFonts w:eastAsia="Times New Roman"/>
          <w:lang w:eastAsia="en-GB"/>
        </w:rPr>
        <w:tab/>
        <w:t>storage proteins and RAPD markers. </w:t>
      </w:r>
      <w:r>
        <w:rPr>
          <w:rFonts w:eastAsia="Times New Roman"/>
          <w:i/>
          <w:iCs/>
          <w:lang w:eastAsia="en-GB"/>
        </w:rPr>
        <w:t>Genetic Resources</w:t>
      </w:r>
      <w:r>
        <w:rPr>
          <w:rFonts w:eastAsia="Times New Roman"/>
          <w:lang w:eastAsia="en-GB"/>
        </w:rPr>
        <w:t>, </w:t>
      </w:r>
      <w:r>
        <w:rPr>
          <w:rFonts w:eastAsia="Times New Roman"/>
          <w:i/>
          <w:iCs/>
          <w:lang w:eastAsia="en-GB"/>
        </w:rPr>
        <w:t>2</w:t>
      </w:r>
      <w:r>
        <w:rPr>
          <w:rFonts w:eastAsia="Times New Roman"/>
          <w:lang w:eastAsia="en-GB"/>
        </w:rPr>
        <w:t>(3), 36–50.</w:t>
      </w:r>
      <w:r>
        <w:rPr>
          <w:rFonts w:eastAsia="Times New Roman"/>
          <w:lang w:eastAsia="en-GB"/>
        </w:rPr>
        <w:tab/>
      </w:r>
      <w:hyperlink r:id="rId7" w:history="1">
        <w:r>
          <w:rPr>
            <w:rStyle w:val="Hyperlink"/>
            <w:rFonts w:eastAsia="Times New Roman"/>
            <w:lang w:eastAsia="en-GB"/>
          </w:rPr>
          <w:t>https://doi.org/10.46265/genresj.OBVW6791</w:t>
        </w:r>
      </w:hyperlink>
    </w:p>
    <w:p w14:paraId="3F0F8F1E" w14:textId="77777777" w:rsidR="002C5D72" w:rsidRDefault="00000000">
      <w:pPr>
        <w:spacing w:after="100" w:afterAutospacing="1"/>
        <w:ind w:right="-22"/>
        <w:jc w:val="both"/>
      </w:pPr>
      <w:r>
        <w:t>Amusa, O., Adesoye, A., Ogunkanmi, A., Omoche, O., Olowe, O., Akinyosoye, S., Omodele,</w:t>
      </w:r>
      <w:r>
        <w:tab/>
        <w:t>T. (2014). Genetic Diversity of Parkia biglobosa from different Agroecological</w:t>
      </w:r>
      <w:r>
        <w:tab/>
        <w:t>zones</w:t>
      </w:r>
      <w:r>
        <w:tab/>
        <w:t xml:space="preserve">of Nigeria using RAPD Markers, </w:t>
      </w:r>
      <w:r>
        <w:rPr>
          <w:i/>
          <w:iCs/>
        </w:rPr>
        <w:t>International Journal of Biodiversity</w:t>
      </w:r>
      <w:r>
        <w:t>,</w:t>
      </w:r>
      <w:r>
        <w:tab/>
      </w:r>
      <w:hyperlink r:id="rId8" w:history="1">
        <w:r>
          <w:rPr>
            <w:rStyle w:val="Hyperlink"/>
          </w:rPr>
          <w:t>https://doi.org/10.1155/2014/457309</w:t>
        </w:r>
      </w:hyperlink>
    </w:p>
    <w:p w14:paraId="52F234F5" w14:textId="77777777" w:rsidR="002C5D72" w:rsidRDefault="00000000">
      <w:pPr>
        <w:shd w:val="clear" w:color="auto" w:fill="FFFFFF"/>
        <w:ind w:right="-22"/>
        <w:jc w:val="both"/>
        <w:textAlignment w:val="center"/>
        <w:rPr>
          <w:color w:val="212121"/>
          <w:shd w:val="clear" w:color="auto" w:fill="FFFFFF"/>
        </w:rPr>
      </w:pPr>
      <w:r>
        <w:rPr>
          <w:color w:val="212121"/>
          <w:shd w:val="clear" w:color="auto" w:fill="FFFFFF"/>
        </w:rPr>
        <w:t>Anju, V. T., Busi, S., Imchen, M., Kumavath, R., Mohan, M. S., Salim, S. A., and Dyavaiah,</w:t>
      </w:r>
      <w:r>
        <w:rPr>
          <w:color w:val="212121"/>
          <w:shd w:val="clear" w:color="auto" w:fill="FFFFFF"/>
        </w:rPr>
        <w:tab/>
        <w:t>M. (2022). Polymicrobial Infections and Biofilms: Clinical Significance and</w:t>
      </w:r>
      <w:r>
        <w:rPr>
          <w:color w:val="212121"/>
          <w:shd w:val="clear" w:color="auto" w:fill="FFFFFF"/>
        </w:rPr>
        <w:tab/>
        <w:t>Eradication</w:t>
      </w:r>
      <w:r>
        <w:rPr>
          <w:color w:val="212121"/>
          <w:shd w:val="clear" w:color="auto" w:fill="FFFFFF"/>
        </w:rPr>
        <w:tab/>
        <w:t>Strategies. </w:t>
      </w:r>
      <w:r>
        <w:rPr>
          <w:i/>
          <w:iCs/>
          <w:color w:val="212121"/>
          <w:shd w:val="clear" w:color="auto" w:fill="FFFFFF"/>
        </w:rPr>
        <w:t>Antibiotics (Basel, Switzerland)</w:t>
      </w:r>
      <w:r>
        <w:rPr>
          <w:color w:val="212121"/>
          <w:shd w:val="clear" w:color="auto" w:fill="FFFFFF"/>
        </w:rPr>
        <w:t>, </w:t>
      </w:r>
      <w:r>
        <w:rPr>
          <w:i/>
          <w:iCs/>
          <w:color w:val="212121"/>
          <w:shd w:val="clear" w:color="auto" w:fill="FFFFFF"/>
        </w:rPr>
        <w:t>11</w:t>
      </w:r>
      <w:r>
        <w:rPr>
          <w:color w:val="212121"/>
          <w:shd w:val="clear" w:color="auto" w:fill="FFFFFF"/>
        </w:rPr>
        <w:t>(12), 1731.</w:t>
      </w:r>
      <w:r>
        <w:rPr>
          <w:color w:val="212121"/>
          <w:shd w:val="clear" w:color="auto" w:fill="FFFFFF"/>
        </w:rPr>
        <w:tab/>
      </w:r>
      <w:hyperlink r:id="rId9" w:history="1">
        <w:r>
          <w:rPr>
            <w:rStyle w:val="Hyperlink"/>
            <w:shd w:val="clear" w:color="auto" w:fill="FFFFFF"/>
          </w:rPr>
          <w:t>https://doi.org/10.3390/antibiotics11121731</w:t>
        </w:r>
      </w:hyperlink>
    </w:p>
    <w:p w14:paraId="30E68AA6" w14:textId="77777777" w:rsidR="002C5D72" w:rsidRDefault="00000000">
      <w:pPr>
        <w:spacing w:after="100" w:afterAutospacing="1" w:line="360" w:lineRule="auto"/>
        <w:ind w:right="-23"/>
        <w:jc w:val="both"/>
        <w:rPr>
          <w:color w:val="212121"/>
          <w:shd w:val="clear" w:color="auto" w:fill="FFFFFF"/>
        </w:rPr>
      </w:pPr>
      <w:r>
        <w:rPr>
          <w:color w:val="212121"/>
          <w:shd w:val="clear" w:color="auto" w:fill="FFFFFF"/>
        </w:rPr>
        <w:t>Antunes, A. L., Trentin, D. S., Bonfanti, J. W., Pinto, C. C., Perez, L. R., Macedo, A. J., &amp;</w:t>
      </w:r>
      <w:r>
        <w:rPr>
          <w:color w:val="212121"/>
          <w:shd w:val="clear" w:color="auto" w:fill="FFFFFF"/>
        </w:rPr>
        <w:tab/>
        <w:t>Barth,</w:t>
      </w:r>
      <w:r>
        <w:rPr>
          <w:color w:val="212121"/>
          <w:shd w:val="clear" w:color="auto" w:fill="FFFFFF"/>
        </w:rPr>
        <w:tab/>
        <w:t>A. L. (2010). Application of a feasible method for determination of biofilm</w:t>
      </w:r>
      <w:r>
        <w:rPr>
          <w:color w:val="212121"/>
          <w:shd w:val="clear" w:color="auto" w:fill="FFFFFF"/>
        </w:rPr>
        <w:tab/>
        <w:t>antimicrobial</w:t>
      </w:r>
      <w:r>
        <w:rPr>
          <w:color w:val="212121"/>
          <w:shd w:val="clear" w:color="auto" w:fill="FFFFFF"/>
        </w:rPr>
        <w:tab/>
        <w:t>susceptibility in staphylococci. </w:t>
      </w:r>
      <w:r>
        <w:rPr>
          <w:i/>
          <w:iCs/>
          <w:color w:val="212121"/>
          <w:shd w:val="clear" w:color="auto" w:fill="FFFFFF"/>
        </w:rPr>
        <w:t>APMIS : acta pathologica,</w:t>
      </w:r>
      <w:r>
        <w:rPr>
          <w:i/>
          <w:iCs/>
          <w:color w:val="212121"/>
          <w:shd w:val="clear" w:color="auto" w:fill="FFFFFF"/>
        </w:rPr>
        <w:tab/>
        <w:t>microbiologica, et immunologica Scandinavica</w:t>
      </w:r>
      <w:r>
        <w:rPr>
          <w:color w:val="212121"/>
          <w:shd w:val="clear" w:color="auto" w:fill="FFFFFF"/>
        </w:rPr>
        <w:t>, </w:t>
      </w:r>
      <w:r>
        <w:rPr>
          <w:i/>
          <w:iCs/>
          <w:color w:val="212121"/>
          <w:shd w:val="clear" w:color="auto" w:fill="FFFFFF"/>
        </w:rPr>
        <w:t>118</w:t>
      </w:r>
      <w:r>
        <w:rPr>
          <w:color w:val="212121"/>
          <w:shd w:val="clear" w:color="auto" w:fill="FFFFFF"/>
        </w:rPr>
        <w:t>(11), 873–877.</w:t>
      </w:r>
      <w:r>
        <w:rPr>
          <w:color w:val="212121"/>
          <w:shd w:val="clear" w:color="auto" w:fill="FFFFFF"/>
        </w:rPr>
        <w:tab/>
        <w:t>https://doi.org/10.1111/j.1600-0463.2010.02681.x</w:t>
      </w:r>
    </w:p>
    <w:p w14:paraId="1761CE82" w14:textId="77777777" w:rsidR="002C5D72" w:rsidRDefault="00000000">
      <w:pPr>
        <w:spacing w:after="100" w:afterAutospacing="1"/>
        <w:ind w:right="-22"/>
        <w:rPr>
          <w:rFonts w:eastAsia="Times New Roman"/>
          <w:color w:val="2C2E35"/>
        </w:rPr>
      </w:pPr>
      <w:r>
        <w:rPr>
          <w:rFonts w:eastAsia="Times New Roman"/>
          <w:color w:val="2C2E35"/>
        </w:rPr>
        <w:t>Buch PJ, Chai Y, Goluch ED. 2019. Treating polymicrobial infections in chronic diabetic</w:t>
      </w:r>
      <w:r>
        <w:rPr>
          <w:rFonts w:eastAsia="Times New Roman"/>
          <w:color w:val="2C2E35"/>
        </w:rPr>
        <w:tab/>
        <w:t xml:space="preserve">wounds. </w:t>
      </w:r>
      <w:r>
        <w:rPr>
          <w:rFonts w:eastAsia="Times New Roman"/>
          <w:i/>
          <w:iCs/>
          <w:color w:val="2C2E35"/>
        </w:rPr>
        <w:t xml:space="preserve">Clinical Microbiology Reviews </w:t>
      </w:r>
      <w:r>
        <w:rPr>
          <w:rFonts w:eastAsia="Times New Roman"/>
          <w:color w:val="2C2E35"/>
        </w:rPr>
        <w:t>32:e00091-18.</w:t>
      </w:r>
      <w:r>
        <w:rPr>
          <w:rFonts w:eastAsia="Times New Roman"/>
          <w:color w:val="2C2E35"/>
        </w:rPr>
        <w:tab/>
      </w:r>
      <w:hyperlink r:id="rId10" w:history="1">
        <w:r>
          <w:rPr>
            <w:rStyle w:val="Hyperlink"/>
            <w:rFonts w:eastAsia="Times New Roman"/>
          </w:rPr>
          <w:t>https://doi.org/10.1128/CMR.00091-18</w:t>
        </w:r>
      </w:hyperlink>
      <w:r>
        <w:rPr>
          <w:rFonts w:eastAsia="Times New Roman"/>
          <w:color w:val="2C2E35"/>
        </w:rPr>
        <w:t>.</w:t>
      </w:r>
      <w:r>
        <w:t xml:space="preserve"> </w:t>
      </w:r>
    </w:p>
    <w:p w14:paraId="1E3C20A7" w14:textId="77777777" w:rsidR="002C5D72" w:rsidRDefault="00000000">
      <w:pPr>
        <w:spacing w:after="100" w:afterAutospacing="1"/>
        <w:ind w:right="-22"/>
        <w:jc w:val="both"/>
        <w:rPr>
          <w:color w:val="333333"/>
          <w:shd w:val="clear" w:color="auto" w:fill="FFFFFF"/>
        </w:rPr>
      </w:pPr>
      <w:r>
        <w:rPr>
          <w:color w:val="333333"/>
          <w:shd w:val="clear" w:color="auto" w:fill="FFFFFF"/>
        </w:rPr>
        <w:t>Builders, M. I., Isichie, C. O. and Aguiyi, J. C. (2012) “Toxicity Studies of the Extracts of</w:t>
      </w:r>
      <w:r>
        <w:rPr>
          <w:color w:val="333333"/>
          <w:shd w:val="clear" w:color="auto" w:fill="FFFFFF"/>
        </w:rPr>
        <w:tab/>
      </w:r>
      <w:r>
        <w:rPr>
          <w:i/>
          <w:iCs/>
          <w:color w:val="333333"/>
          <w:shd w:val="clear" w:color="auto" w:fill="FFFFFF"/>
        </w:rPr>
        <w:t>Parkia</w:t>
      </w:r>
      <w:r>
        <w:rPr>
          <w:i/>
          <w:iCs/>
          <w:color w:val="333333"/>
          <w:shd w:val="clear" w:color="auto" w:fill="FFFFFF"/>
        </w:rPr>
        <w:tab/>
        <w:t>biglobosa</w:t>
      </w:r>
      <w:r>
        <w:rPr>
          <w:color w:val="333333"/>
          <w:shd w:val="clear" w:color="auto" w:fill="FFFFFF"/>
        </w:rPr>
        <w:t xml:space="preserve"> Stem-Bark in Rats”, </w:t>
      </w:r>
      <w:r>
        <w:rPr>
          <w:i/>
          <w:iCs/>
          <w:color w:val="333333"/>
          <w:shd w:val="clear" w:color="auto" w:fill="FFFFFF"/>
        </w:rPr>
        <w:t>Journal of Pharmaceutical Research</w:t>
      </w:r>
      <w:r>
        <w:rPr>
          <w:i/>
          <w:iCs/>
          <w:color w:val="333333"/>
          <w:shd w:val="clear" w:color="auto" w:fill="FFFFFF"/>
        </w:rPr>
        <w:tab/>
        <w:t>International</w:t>
      </w:r>
      <w:r>
        <w:rPr>
          <w:color w:val="333333"/>
          <w:shd w:val="clear" w:color="auto" w:fill="FFFFFF"/>
        </w:rPr>
        <w:t>, 2(1), 1–16. Doi: 10.9734/BJPR/2012/906.</w:t>
      </w:r>
    </w:p>
    <w:p w14:paraId="03BD6ED4" w14:textId="77777777" w:rsidR="002C5D72" w:rsidRDefault="00000000">
      <w:pPr>
        <w:spacing w:after="100" w:afterAutospacing="1"/>
        <w:ind w:right="-22"/>
        <w:jc w:val="both"/>
      </w:pPr>
      <w:r>
        <w:lastRenderedPageBreak/>
        <w:t xml:space="preserve">Builders, M.I.(2014). Parkia biglobosa (African Locust Bean Tree). </w:t>
      </w:r>
      <w:r>
        <w:rPr>
          <w:i/>
          <w:iCs/>
        </w:rPr>
        <w:t>World Journal of</w:t>
      </w:r>
      <w:r>
        <w:rPr>
          <w:i/>
          <w:iCs/>
        </w:rPr>
        <w:tab/>
        <w:t>Pharmaceutical Research</w:t>
      </w:r>
      <w:r>
        <w:t xml:space="preserve">, 3(2):1672-1682. </w:t>
      </w:r>
      <w:hyperlink r:id="rId11" w:history="1">
        <w:r>
          <w:rPr>
            <w:rStyle w:val="Hyperlink"/>
          </w:rPr>
          <w:t>www.wjpr.net</w:t>
        </w:r>
      </w:hyperlink>
    </w:p>
    <w:p w14:paraId="15516B6C" w14:textId="77777777" w:rsidR="002C5D72" w:rsidRDefault="00000000">
      <w:pPr>
        <w:spacing w:after="0" w:line="240" w:lineRule="auto"/>
        <w:jc w:val="both"/>
        <w:rPr>
          <w:rStyle w:val="Hyperlink"/>
        </w:rPr>
      </w:pPr>
      <w:bookmarkStart w:id="28" w:name="_Hlk147313972"/>
      <w:r>
        <w:t xml:space="preserve">Builders, P.F., Shedrack, A.H., Mohammed, B. B., Builders, M.I. (2021). Efficacy of </w:t>
      </w:r>
      <w:r>
        <w:rPr>
          <w:i/>
          <w:iCs/>
        </w:rPr>
        <w:t>Parkia</w:t>
      </w:r>
      <w:r>
        <w:rPr>
          <w:i/>
          <w:iCs/>
        </w:rPr>
        <w:tab/>
        <w:t>biglobosa</w:t>
      </w:r>
      <w:r>
        <w:t xml:space="preserve"> stem bark in the treatment of burn wounds. </w:t>
      </w:r>
      <w:r>
        <w:rPr>
          <w:i/>
          <w:iCs/>
        </w:rPr>
        <w:t>Journal of Phytomedicine and</w:t>
      </w:r>
      <w:r>
        <w:rPr>
          <w:i/>
          <w:iCs/>
        </w:rPr>
        <w:tab/>
        <w:t>Therapeutics</w:t>
      </w:r>
      <w:r>
        <w:t xml:space="preserve">, 20(1), 529-541. </w:t>
      </w:r>
      <w:hyperlink r:id="rId12" w:history="1">
        <w:r>
          <w:rPr>
            <w:rStyle w:val="Hyperlink"/>
          </w:rPr>
          <w:t>https://dx.doi.org/10.4314/jopat.v20i1.5</w:t>
        </w:r>
      </w:hyperlink>
      <w:bookmarkEnd w:id="28"/>
    </w:p>
    <w:p w14:paraId="6F92CEBF" w14:textId="77777777" w:rsidR="002C5D72" w:rsidRDefault="002C5D72">
      <w:pPr>
        <w:spacing w:after="0" w:line="240" w:lineRule="auto"/>
        <w:jc w:val="both"/>
        <w:rPr>
          <w:rStyle w:val="Hyperlink"/>
        </w:rPr>
      </w:pPr>
    </w:p>
    <w:p w14:paraId="6E125E49" w14:textId="77777777" w:rsidR="002C5D72" w:rsidRDefault="00000000">
      <w:pPr>
        <w:spacing w:after="100" w:afterAutospacing="1" w:line="240" w:lineRule="auto"/>
        <w:ind w:right="-22"/>
        <w:jc w:val="both"/>
        <w:rPr>
          <w:color w:val="212121"/>
          <w:szCs w:val="24"/>
          <w:shd w:val="clear" w:color="auto" w:fill="FFFFFF"/>
        </w:rPr>
      </w:pPr>
      <w:bookmarkStart w:id="29" w:name="_Hlk164266311"/>
      <w:r>
        <w:rPr>
          <w:color w:val="212121"/>
          <w:szCs w:val="24"/>
          <w:shd w:val="clear" w:color="auto" w:fill="FFFFFF"/>
        </w:rPr>
        <w:t>Caputo, W. J., Monterosa, P., &amp; Beggs, D. (2022). Antibiotic Misuse in Wound Care: Can</w:t>
      </w:r>
      <w:r>
        <w:rPr>
          <w:color w:val="212121"/>
          <w:szCs w:val="24"/>
          <w:shd w:val="clear" w:color="auto" w:fill="FFFFFF"/>
        </w:rPr>
        <w:tab/>
        <w:t>Bacterial Localization through Fluorescence Imaging Help?. </w:t>
      </w:r>
      <w:r>
        <w:rPr>
          <w:i/>
          <w:iCs/>
          <w:color w:val="212121"/>
          <w:szCs w:val="24"/>
          <w:shd w:val="clear" w:color="auto" w:fill="FFFFFF"/>
        </w:rPr>
        <w:t>Diagnostics (Basel,</w:t>
      </w:r>
      <w:r>
        <w:rPr>
          <w:i/>
          <w:iCs/>
          <w:color w:val="212121"/>
          <w:szCs w:val="24"/>
          <w:shd w:val="clear" w:color="auto" w:fill="FFFFFF"/>
        </w:rPr>
        <w:tab/>
        <w:t>Switzerland)</w:t>
      </w:r>
      <w:r>
        <w:rPr>
          <w:color w:val="212121"/>
          <w:szCs w:val="24"/>
          <w:shd w:val="clear" w:color="auto" w:fill="FFFFFF"/>
        </w:rPr>
        <w:t>, </w:t>
      </w:r>
      <w:r>
        <w:rPr>
          <w:i/>
          <w:iCs/>
          <w:color w:val="212121"/>
          <w:szCs w:val="24"/>
          <w:shd w:val="clear" w:color="auto" w:fill="FFFFFF"/>
        </w:rPr>
        <w:t>12</w:t>
      </w:r>
      <w:r>
        <w:rPr>
          <w:color w:val="212121"/>
          <w:szCs w:val="24"/>
          <w:shd w:val="clear" w:color="auto" w:fill="FFFFFF"/>
        </w:rPr>
        <w:t xml:space="preserve">(12), 3207. </w:t>
      </w:r>
      <w:hyperlink r:id="rId13" w:history="1">
        <w:r>
          <w:rPr>
            <w:rStyle w:val="Hyperlink"/>
            <w:szCs w:val="24"/>
            <w:shd w:val="clear" w:color="auto" w:fill="FFFFFF"/>
          </w:rPr>
          <w:t>https://doi.org/10.3390/diagnostics12123207</w:t>
        </w:r>
      </w:hyperlink>
      <w:bookmarkEnd w:id="29"/>
    </w:p>
    <w:p w14:paraId="51B7FBBF" w14:textId="77777777" w:rsidR="002C5D72" w:rsidRDefault="00000000">
      <w:pPr>
        <w:spacing w:after="0" w:line="240" w:lineRule="auto"/>
        <w:jc w:val="both"/>
        <w:rPr>
          <w:bCs/>
        </w:rPr>
      </w:pPr>
      <w:r>
        <w:rPr>
          <w:bCs/>
        </w:rPr>
        <w:t>Chen, K., Lin, S., Li, P., Song, Q., LUO, D., Liu, T., and Zhang, W. (2018). Characterization of</w:t>
      </w:r>
      <w:r>
        <w:rPr>
          <w:bCs/>
        </w:rPr>
        <w:tab/>
        <w:t>Staphylococcus aureus isolated from patients with burns in a regional burn centre,</w:t>
      </w:r>
      <w:r>
        <w:rPr>
          <w:bCs/>
        </w:rPr>
        <w:tab/>
        <w:t xml:space="preserve">Southwestern China. </w:t>
      </w:r>
      <w:r>
        <w:rPr>
          <w:bCs/>
          <w:i/>
          <w:iCs/>
        </w:rPr>
        <w:t>BioMed Central Infectious Diseases</w:t>
      </w:r>
      <w:r>
        <w:rPr>
          <w:bCs/>
        </w:rPr>
        <w:t xml:space="preserve">, 18:51. </w:t>
      </w:r>
    </w:p>
    <w:p w14:paraId="1A41B784" w14:textId="77777777" w:rsidR="002C5D72" w:rsidRDefault="00000000">
      <w:pPr>
        <w:spacing w:after="0" w:line="240" w:lineRule="auto"/>
        <w:ind w:firstLine="720"/>
        <w:jc w:val="both"/>
        <w:rPr>
          <w:bCs/>
        </w:rPr>
      </w:pPr>
      <w:r>
        <w:rPr>
          <w:bCs/>
        </w:rPr>
        <w:t>DOI: 10.1186/s12879-018-2955-6</w:t>
      </w:r>
    </w:p>
    <w:p w14:paraId="6629F05C" w14:textId="77777777" w:rsidR="002C5D72" w:rsidRDefault="002C5D72">
      <w:pPr>
        <w:spacing w:after="0" w:line="240" w:lineRule="auto"/>
        <w:jc w:val="both"/>
      </w:pPr>
    </w:p>
    <w:p w14:paraId="71F6D61B" w14:textId="77777777" w:rsidR="002C5D72" w:rsidRDefault="00000000">
      <w:pPr>
        <w:spacing w:after="0" w:line="240" w:lineRule="auto"/>
        <w:jc w:val="both"/>
        <w:rPr>
          <w:bCs/>
        </w:rPr>
      </w:pPr>
      <w:r>
        <w:rPr>
          <w:bCs/>
        </w:rPr>
        <w:t xml:space="preserve">CLSI (2018). </w:t>
      </w:r>
      <w:r>
        <w:rPr>
          <w:bCs/>
          <w:i/>
          <w:iCs/>
        </w:rPr>
        <w:t>Performance Standards for Antimicrobial Susceptibility Testing</w:t>
      </w:r>
      <w:r>
        <w:rPr>
          <w:bCs/>
        </w:rPr>
        <w:t>. 28</w:t>
      </w:r>
      <w:r>
        <w:rPr>
          <w:bCs/>
          <w:vertAlign w:val="superscript"/>
        </w:rPr>
        <w:t>th</w:t>
      </w:r>
      <w:r>
        <w:rPr>
          <w:bCs/>
        </w:rPr>
        <w:t xml:space="preserve"> Ed. CLSI</w:t>
      </w:r>
      <w:r>
        <w:rPr>
          <w:bCs/>
        </w:rPr>
        <w:tab/>
        <w:t>supplement M100. Wayne, PA: Clinical and Laboratory Standards Institute.</w:t>
      </w:r>
    </w:p>
    <w:p w14:paraId="2580BE19" w14:textId="77777777" w:rsidR="002C5D72" w:rsidRDefault="002C5D72">
      <w:pPr>
        <w:spacing w:after="0" w:line="240" w:lineRule="auto"/>
        <w:jc w:val="both"/>
        <w:rPr>
          <w:bCs/>
        </w:rPr>
      </w:pPr>
    </w:p>
    <w:p w14:paraId="57099B53" w14:textId="77777777" w:rsidR="002C5D72" w:rsidRDefault="00000000">
      <w:pPr>
        <w:pStyle w:val="Default"/>
        <w:jc w:val="both"/>
        <w:rPr>
          <w:rFonts w:ascii="Times New Roman" w:hAnsi="Times New Roman" w:cs="Times New Roman"/>
        </w:rPr>
      </w:pPr>
      <w:r>
        <w:rPr>
          <w:rFonts w:ascii="Times New Roman" w:hAnsi="Times New Roman" w:cs="Times New Roman"/>
        </w:rPr>
        <w:t>Dedehou, V.F.G.N.,  Olounladé, P.A.,  Adenilé, D.A.,  Alowanou, G.G., Azando, E.V.B and</w:t>
      </w:r>
      <w:r>
        <w:rPr>
          <w:rFonts w:ascii="Times New Roman" w:hAnsi="Times New Roman" w:cs="Times New Roman"/>
        </w:rPr>
        <w:tab/>
        <w:t xml:space="preserve">Hounzangbé-Adoté, M.S.(2016). A review on medicinal plants of </w:t>
      </w:r>
      <w:r>
        <w:rPr>
          <w:rFonts w:ascii="Times New Roman" w:hAnsi="Times New Roman" w:cs="Times New Roman"/>
          <w:i/>
          <w:iCs/>
        </w:rPr>
        <w:t>Parkia biglobosa</w:t>
      </w:r>
      <w:r>
        <w:rPr>
          <w:rFonts w:ascii="Times New Roman" w:hAnsi="Times New Roman" w:cs="Times New Roman"/>
          <w:i/>
          <w:iCs/>
        </w:rPr>
        <w:tab/>
      </w:r>
      <w:r>
        <w:rPr>
          <w:rFonts w:ascii="Times New Roman" w:hAnsi="Times New Roman" w:cs="Times New Roman"/>
        </w:rPr>
        <w:t xml:space="preserve">(Mimosaceae -Fabaceae) and </w:t>
      </w:r>
      <w:r>
        <w:rPr>
          <w:rFonts w:ascii="Times New Roman" w:hAnsi="Times New Roman" w:cs="Times New Roman"/>
          <w:i/>
          <w:iCs/>
        </w:rPr>
        <w:t xml:space="preserve">Pterocarpus erinaceus </w:t>
      </w:r>
      <w:r>
        <w:rPr>
          <w:rFonts w:ascii="Times New Roman" w:hAnsi="Times New Roman" w:cs="Times New Roman"/>
        </w:rPr>
        <w:t>(Leguminosae – Papilionoidea).</w:t>
      </w:r>
      <w:r>
        <w:rPr>
          <w:rFonts w:ascii="Times New Roman" w:hAnsi="Times New Roman" w:cs="Times New Roman"/>
        </w:rPr>
        <w:tab/>
      </w:r>
      <w:r>
        <w:rPr>
          <w:rFonts w:ascii="Times New Roman" w:hAnsi="Times New Roman" w:cs="Times New Roman"/>
          <w:i/>
          <w:iCs/>
        </w:rPr>
        <w:t>Journal of  Medicinal Plants Studies</w:t>
      </w:r>
      <w:r>
        <w:rPr>
          <w:rFonts w:ascii="Times New Roman" w:hAnsi="Times New Roman" w:cs="Times New Roman"/>
        </w:rPr>
        <w:t xml:space="preserve">. 4(6):132-137 </w:t>
      </w:r>
    </w:p>
    <w:p w14:paraId="26989B9E" w14:textId="77777777" w:rsidR="002C5D72" w:rsidRDefault="002C5D72">
      <w:pPr>
        <w:pStyle w:val="Default"/>
        <w:jc w:val="both"/>
        <w:rPr>
          <w:rFonts w:ascii="Times New Roman" w:hAnsi="Times New Roman" w:cs="Times New Roman"/>
        </w:rPr>
      </w:pPr>
    </w:p>
    <w:p w14:paraId="4796B56B" w14:textId="77777777" w:rsidR="002C5D72" w:rsidRDefault="00000000">
      <w:pPr>
        <w:shd w:val="clear" w:color="auto" w:fill="FFFFFF"/>
        <w:spacing w:line="240" w:lineRule="auto"/>
        <w:ind w:right="-22"/>
        <w:jc w:val="both"/>
        <w:rPr>
          <w:rFonts w:eastAsia="Times New Roman"/>
          <w:color w:val="0563C1"/>
          <w:u w:val="single"/>
          <w:lang w:eastAsia="en-GB"/>
        </w:rPr>
      </w:pPr>
      <w:r>
        <w:rPr>
          <w:rFonts w:eastAsia="Times New Roman"/>
          <w:color w:val="222222"/>
          <w:lang w:eastAsia="en-GB"/>
        </w:rPr>
        <w:t>Durand, B. A. R. N., Pouget, C., Magnan, C., Molle, V., Lavigne, J.-P., and Dunyach-Remy,</w:t>
      </w:r>
      <w:r>
        <w:rPr>
          <w:rFonts w:eastAsia="Times New Roman"/>
          <w:color w:val="222222"/>
          <w:lang w:eastAsia="en-GB"/>
        </w:rPr>
        <w:tab/>
        <w:t>C. (2022). Bacterial Interactions in the Context of Chronic Wound Biofilm: A</w:t>
      </w:r>
      <w:r>
        <w:rPr>
          <w:rFonts w:eastAsia="Times New Roman"/>
          <w:color w:val="222222"/>
          <w:lang w:eastAsia="en-GB"/>
        </w:rPr>
        <w:tab/>
        <w:t>Review. </w:t>
      </w:r>
      <w:r>
        <w:rPr>
          <w:rFonts w:eastAsia="Times New Roman"/>
          <w:i/>
          <w:iCs/>
          <w:color w:val="222222"/>
          <w:lang w:eastAsia="en-GB"/>
        </w:rPr>
        <w:t>Microorganisms</w:t>
      </w:r>
      <w:r>
        <w:rPr>
          <w:rFonts w:eastAsia="Times New Roman"/>
          <w:color w:val="222222"/>
          <w:lang w:eastAsia="en-GB"/>
        </w:rPr>
        <w:t>, </w:t>
      </w:r>
      <w:r>
        <w:rPr>
          <w:rFonts w:eastAsia="Times New Roman"/>
          <w:i/>
          <w:iCs/>
          <w:color w:val="222222"/>
          <w:lang w:eastAsia="en-GB"/>
        </w:rPr>
        <w:t>10</w:t>
      </w:r>
      <w:r>
        <w:rPr>
          <w:rFonts w:eastAsia="Times New Roman"/>
          <w:color w:val="222222"/>
          <w:lang w:eastAsia="en-GB"/>
        </w:rPr>
        <w:t>(8), 1500. MDPI AG. Retrieved from</w:t>
      </w:r>
      <w:r>
        <w:rPr>
          <w:rFonts w:eastAsia="Times New Roman"/>
          <w:color w:val="222222"/>
          <w:lang w:eastAsia="en-GB"/>
        </w:rPr>
        <w:tab/>
      </w:r>
      <w:hyperlink r:id="rId14" w:history="1">
        <w:r>
          <w:rPr>
            <w:rStyle w:val="Hyperlink"/>
            <w:rFonts w:eastAsia="Times New Roman"/>
            <w:lang w:eastAsia="en-GB"/>
          </w:rPr>
          <w:t>http://dx.doi.org/10.3390/microorganisms10081500</w:t>
        </w:r>
      </w:hyperlink>
    </w:p>
    <w:p w14:paraId="7BBAAC79" w14:textId="77777777" w:rsidR="002C5D72" w:rsidRDefault="00000000">
      <w:pPr>
        <w:spacing w:line="240" w:lineRule="auto"/>
        <w:ind w:right="-22"/>
        <w:jc w:val="both"/>
        <w:rPr>
          <w:color w:val="212121"/>
          <w:shd w:val="clear" w:color="auto" w:fill="FFFFFF"/>
        </w:rPr>
      </w:pPr>
      <w:r>
        <w:rPr>
          <w:color w:val="212121"/>
          <w:shd w:val="clear" w:color="auto" w:fill="FFFFFF"/>
        </w:rPr>
        <w:t>Flemming, H. C., &amp; Wuertz, S. (2019). Bacteria and archaea on Earth and their abundance in</w:t>
      </w:r>
      <w:r>
        <w:rPr>
          <w:color w:val="212121"/>
          <w:shd w:val="clear" w:color="auto" w:fill="FFFFFF"/>
        </w:rPr>
        <w:tab/>
        <w:t>biofilms. </w:t>
      </w:r>
      <w:r>
        <w:rPr>
          <w:i/>
          <w:iCs/>
          <w:color w:val="212121"/>
          <w:shd w:val="clear" w:color="auto" w:fill="FFFFFF"/>
        </w:rPr>
        <w:t>Nature reviews. Microbiology</w:t>
      </w:r>
      <w:r>
        <w:rPr>
          <w:color w:val="212121"/>
          <w:shd w:val="clear" w:color="auto" w:fill="FFFFFF"/>
        </w:rPr>
        <w:t>, </w:t>
      </w:r>
      <w:r>
        <w:rPr>
          <w:i/>
          <w:iCs/>
          <w:color w:val="212121"/>
          <w:shd w:val="clear" w:color="auto" w:fill="FFFFFF"/>
        </w:rPr>
        <w:t>17</w:t>
      </w:r>
      <w:r>
        <w:rPr>
          <w:color w:val="212121"/>
          <w:shd w:val="clear" w:color="auto" w:fill="FFFFFF"/>
        </w:rPr>
        <w:t xml:space="preserve">(4), 247–260. </w:t>
      </w:r>
    </w:p>
    <w:p w14:paraId="43779FA8" w14:textId="77777777" w:rsidR="002C5D72" w:rsidRDefault="00000000">
      <w:pPr>
        <w:spacing w:line="240" w:lineRule="auto"/>
        <w:ind w:right="-22" w:firstLine="720"/>
        <w:jc w:val="both"/>
        <w:rPr>
          <w:color w:val="212121"/>
          <w:shd w:val="clear" w:color="auto" w:fill="FFFFFF"/>
        </w:rPr>
      </w:pPr>
      <w:hyperlink r:id="rId15" w:history="1">
        <w:r>
          <w:rPr>
            <w:rStyle w:val="Hyperlink"/>
            <w:shd w:val="clear" w:color="auto" w:fill="FFFFFF"/>
          </w:rPr>
          <w:t>https://doi.org/10.1038/s41579-019-0158-9</w:t>
        </w:r>
      </w:hyperlink>
    </w:p>
    <w:p w14:paraId="5F34DA0E" w14:textId="77777777" w:rsidR="002C5D72" w:rsidRDefault="00000000">
      <w:pPr>
        <w:pStyle w:val="c-bibliographic-informationcitation"/>
        <w:shd w:val="clear" w:color="auto" w:fill="FFFFFF"/>
        <w:spacing w:before="0" w:beforeAutospacing="0" w:after="0" w:afterAutospacing="0" w:line="480" w:lineRule="auto"/>
        <w:jc w:val="both"/>
        <w:rPr>
          <w:color w:val="212121"/>
          <w:shd w:val="clear" w:color="auto" w:fill="FFFFFF"/>
        </w:rPr>
      </w:pPr>
      <w:r>
        <w:rPr>
          <w:color w:val="212121"/>
          <w:shd w:val="clear" w:color="auto" w:fill="FFFFFF"/>
        </w:rPr>
        <w:t>Harbonne, J.B. (1998). Phytochemical Methods. A Guide to Modern Techniques of Plant</w:t>
      </w:r>
      <w:r>
        <w:rPr>
          <w:color w:val="212121"/>
          <w:shd w:val="clear" w:color="auto" w:fill="FFFFFF"/>
        </w:rPr>
        <w:tab/>
        <w:t>Analysis. Third Edition. London. Chapman And Hall.</w:t>
      </w:r>
    </w:p>
    <w:p w14:paraId="099E25C1" w14:textId="77777777" w:rsidR="002C5D72" w:rsidRDefault="00000000">
      <w:pPr>
        <w:shd w:val="clear" w:color="auto" w:fill="FFFFFF"/>
        <w:spacing w:line="240" w:lineRule="auto"/>
        <w:ind w:right="-22"/>
        <w:jc w:val="both"/>
        <w:rPr>
          <w:rFonts w:eastAsia="Times New Roman"/>
          <w:lang w:eastAsia="en-GB"/>
        </w:rPr>
      </w:pPr>
      <w:r>
        <w:rPr>
          <w:rFonts w:eastAsia="Times New Roman"/>
          <w:lang w:eastAsia="en-GB"/>
        </w:rPr>
        <w:t>Ihuma, J. O., Kure, S., Famojuro, T. I., &amp; Malgwi, T. D. (2022). Antimicrobial Effects of the</w:t>
      </w:r>
      <w:r>
        <w:rPr>
          <w:rFonts w:eastAsia="Times New Roman"/>
          <w:lang w:eastAsia="en-GB"/>
        </w:rPr>
        <w:tab/>
        <w:t xml:space="preserve">Stem Bark Extracts of </w:t>
      </w:r>
      <w:r>
        <w:rPr>
          <w:rFonts w:eastAsia="Times New Roman"/>
          <w:i/>
          <w:iCs/>
          <w:lang w:eastAsia="en-GB"/>
        </w:rPr>
        <w:t>Parkia biglobosa</w:t>
      </w:r>
      <w:r>
        <w:rPr>
          <w:rFonts w:eastAsia="Times New Roman"/>
          <w:lang w:eastAsia="en-GB"/>
        </w:rPr>
        <w:t xml:space="preserve"> (Jacq.) G. Don on </w:t>
      </w:r>
      <w:r>
        <w:rPr>
          <w:rFonts w:eastAsia="Times New Roman"/>
          <w:i/>
          <w:iCs/>
          <w:lang w:eastAsia="en-GB"/>
        </w:rPr>
        <w:t>Escherichia coli</w:t>
      </w:r>
      <w:r>
        <w:rPr>
          <w:rFonts w:eastAsia="Times New Roman"/>
          <w:lang w:eastAsia="en-GB"/>
        </w:rPr>
        <w:t xml:space="preserve"> and</w:t>
      </w:r>
      <w:r>
        <w:rPr>
          <w:rFonts w:eastAsia="Times New Roman"/>
          <w:lang w:eastAsia="en-GB"/>
        </w:rPr>
        <w:tab/>
      </w:r>
      <w:r>
        <w:rPr>
          <w:rFonts w:eastAsia="Times New Roman"/>
          <w:i/>
          <w:iCs/>
          <w:lang w:eastAsia="en-GB"/>
        </w:rPr>
        <w:t>Staphylococcus aureus</w:t>
      </w:r>
      <w:r>
        <w:rPr>
          <w:rFonts w:eastAsia="Times New Roman"/>
          <w:lang w:eastAsia="en-GB"/>
        </w:rPr>
        <w:t>. </w:t>
      </w:r>
      <w:r>
        <w:rPr>
          <w:rFonts w:eastAsia="Times New Roman"/>
          <w:i/>
          <w:iCs/>
          <w:lang w:eastAsia="en-GB"/>
        </w:rPr>
        <w:t>Asian Journal of Biology</w:t>
      </w:r>
      <w:r>
        <w:rPr>
          <w:rFonts w:eastAsia="Times New Roman"/>
          <w:lang w:eastAsia="en-GB"/>
        </w:rPr>
        <w:t>, </w:t>
      </w:r>
      <w:r>
        <w:rPr>
          <w:rFonts w:eastAsia="Times New Roman"/>
          <w:i/>
          <w:iCs/>
          <w:lang w:eastAsia="en-GB"/>
        </w:rPr>
        <w:t>16</w:t>
      </w:r>
      <w:r>
        <w:rPr>
          <w:rFonts w:eastAsia="Times New Roman"/>
          <w:lang w:eastAsia="en-GB"/>
        </w:rPr>
        <w:t>(3), 1–9.</w:t>
      </w:r>
      <w:r>
        <w:rPr>
          <w:rFonts w:eastAsia="Times New Roman"/>
          <w:lang w:eastAsia="en-GB"/>
        </w:rPr>
        <w:tab/>
      </w:r>
    </w:p>
    <w:p w14:paraId="131B085A" w14:textId="77777777" w:rsidR="002C5D72" w:rsidRDefault="00000000">
      <w:pPr>
        <w:shd w:val="clear" w:color="auto" w:fill="FFFFFF"/>
        <w:spacing w:line="240" w:lineRule="auto"/>
        <w:ind w:right="-22" w:firstLine="720"/>
        <w:jc w:val="both"/>
        <w:rPr>
          <w:rFonts w:eastAsia="Times New Roman"/>
          <w:lang w:eastAsia="en-GB"/>
        </w:rPr>
      </w:pPr>
      <w:hyperlink r:id="rId16" w:history="1">
        <w:r>
          <w:rPr>
            <w:rStyle w:val="Hyperlink"/>
            <w:rFonts w:eastAsia="Times New Roman"/>
            <w:lang w:eastAsia="en-GB"/>
          </w:rPr>
          <w:t>https://doi.org/10.9734/ajob/2022/v16i3301</w:t>
        </w:r>
      </w:hyperlink>
    </w:p>
    <w:p w14:paraId="0F1C10C2" w14:textId="77777777" w:rsidR="002C5D72" w:rsidRDefault="00000000">
      <w:pPr>
        <w:spacing w:after="100" w:afterAutospacing="1" w:line="240" w:lineRule="auto"/>
        <w:ind w:right="-22"/>
        <w:jc w:val="both"/>
        <w:rPr>
          <w:bCs/>
        </w:rPr>
      </w:pPr>
      <w:r>
        <w:rPr>
          <w:bCs/>
        </w:rPr>
        <w:t>Iqbal, A., Jan, A., Wajid, M. A. and Tariq, S. (2017). Management of Chronic Nonhealing</w:t>
      </w:r>
      <w:r>
        <w:rPr>
          <w:bCs/>
        </w:rPr>
        <w:tab/>
        <w:t xml:space="preserve">Wounds by Hirudotherapy. </w:t>
      </w:r>
      <w:r>
        <w:rPr>
          <w:bCs/>
          <w:i/>
          <w:iCs/>
        </w:rPr>
        <w:t>World Journal of Plastic Surgery</w:t>
      </w:r>
      <w:r>
        <w:rPr>
          <w:bCs/>
        </w:rPr>
        <w:t>, 6(1): 9-17 Accessed on</w:t>
      </w:r>
      <w:r>
        <w:rPr>
          <w:bCs/>
        </w:rPr>
        <w:tab/>
        <w:t xml:space="preserve">May 18, 2020 from </w:t>
      </w:r>
      <w:hyperlink r:id="rId17" w:history="1">
        <w:r>
          <w:rPr>
            <w:rStyle w:val="Hyperlink"/>
            <w:bCs/>
          </w:rPr>
          <w:t>www.ijps.ir</w:t>
        </w:r>
      </w:hyperlink>
      <w:r>
        <w:rPr>
          <w:bCs/>
        </w:rPr>
        <w:t xml:space="preserve"> </w:t>
      </w:r>
    </w:p>
    <w:p w14:paraId="42BB8E76" w14:textId="77777777" w:rsidR="002C5D72" w:rsidRDefault="00000000">
      <w:pPr>
        <w:spacing w:after="100" w:afterAutospacing="1" w:line="240" w:lineRule="auto"/>
        <w:ind w:right="-22"/>
        <w:jc w:val="both"/>
        <w:rPr>
          <w:rStyle w:val="Hyperlink"/>
          <w:bCs/>
        </w:rPr>
      </w:pPr>
      <w:r>
        <w:rPr>
          <w:bCs/>
        </w:rPr>
        <w:lastRenderedPageBreak/>
        <w:t>Iyun, A. O., Ademola, S. A., Olawoye, O. A., Michael, A. I., and Oluwatosin, O. M. (2016).</w:t>
      </w:r>
      <w:r>
        <w:rPr>
          <w:bCs/>
        </w:rPr>
        <w:tab/>
        <w:t>Point Prevalence of Chronic Wounds at a Tertiary Hospital in Nigeria. Available and</w:t>
      </w:r>
      <w:r>
        <w:rPr>
          <w:bCs/>
        </w:rPr>
        <w:tab/>
        <w:t xml:space="preserve">accessed from </w:t>
      </w:r>
      <w:hyperlink r:id="rId18" w:history="1">
        <w:r>
          <w:rPr>
            <w:rStyle w:val="Hyperlink"/>
            <w:bCs/>
          </w:rPr>
          <w:t>https://www.woundsresearch.com/article/point-prevalence-chronic</w:t>
        </w:r>
        <w:r>
          <w:rPr>
            <w:rStyle w:val="Hyperlink"/>
            <w:bCs/>
          </w:rPr>
          <w:tab/>
          <w:t>tertiary-hospital Nigeria</w:t>
        </w:r>
      </w:hyperlink>
    </w:p>
    <w:p w14:paraId="3055103F" w14:textId="77777777" w:rsidR="002C5D72" w:rsidRDefault="00000000">
      <w:pPr>
        <w:shd w:val="clear" w:color="auto" w:fill="FFFFFF"/>
        <w:spacing w:line="240" w:lineRule="auto"/>
        <w:ind w:right="-22"/>
        <w:jc w:val="both"/>
        <w:rPr>
          <w:rStyle w:val="Hyperlink"/>
          <w:color w:val="000000"/>
          <w:u w:val="none"/>
          <w:shd w:val="clear" w:color="auto" w:fill="FFFFFF"/>
        </w:rPr>
      </w:pPr>
      <w:r>
        <w:rPr>
          <w:rStyle w:val="Hyperlink"/>
          <w:color w:val="000000"/>
          <w:u w:val="none"/>
          <w:shd w:val="clear" w:color="auto" w:fill="FFFFFF"/>
        </w:rPr>
        <w:t>Jamal, M., Ahmad, W., Andleeb, S., Jalil, F., Imran, M., Nawaz, M.A., and Muhammad, A.</w:t>
      </w:r>
      <w:r>
        <w:rPr>
          <w:rStyle w:val="Hyperlink"/>
          <w:color w:val="000000"/>
          <w:u w:val="none"/>
          <w:shd w:val="clear" w:color="auto" w:fill="FFFFFF"/>
        </w:rPr>
        <w:tab/>
        <w:t xml:space="preserve">(2018). Bacterial biofilm and associated infections. </w:t>
      </w:r>
      <w:r>
        <w:rPr>
          <w:rStyle w:val="Hyperlink"/>
          <w:i/>
          <w:iCs/>
          <w:color w:val="000000"/>
          <w:u w:val="none"/>
          <w:shd w:val="clear" w:color="auto" w:fill="FFFFFF"/>
        </w:rPr>
        <w:t>Journal of the Chinese Medical</w:t>
      </w:r>
      <w:r>
        <w:rPr>
          <w:rStyle w:val="Hyperlink"/>
          <w:i/>
          <w:iCs/>
          <w:color w:val="000000"/>
          <w:u w:val="none"/>
          <w:shd w:val="clear" w:color="auto" w:fill="FFFFFF"/>
        </w:rPr>
        <w:tab/>
        <w:t>Association</w:t>
      </w:r>
      <w:r>
        <w:rPr>
          <w:rStyle w:val="Hyperlink"/>
          <w:color w:val="000000"/>
          <w:u w:val="none"/>
          <w:shd w:val="clear" w:color="auto" w:fill="FFFFFF"/>
        </w:rPr>
        <w:t>, 81(1):7-11. Doi:10.1016/j.jcma.2017.07.012</w:t>
      </w:r>
    </w:p>
    <w:p w14:paraId="4A5D1063" w14:textId="77777777" w:rsidR="002C5D72" w:rsidRDefault="00000000">
      <w:pPr>
        <w:jc w:val="both"/>
      </w:pPr>
      <w:bookmarkStart w:id="30" w:name="_Hlk164278509"/>
      <w:r>
        <w:t>Jauro S, Abubakar MB, Geidam YA, Zanna MY, Kwoji ID, Isa Gulani A, Ibrahim I.</w:t>
      </w:r>
      <w:r>
        <w:tab/>
        <w:t>Phytochemical and antimicrobial profile analysis of Parkia biglobosa against methicillin</w:t>
      </w:r>
      <w:r>
        <w:tab/>
        <w:t xml:space="preserve">resistant Staphylococcus aureus. </w:t>
      </w:r>
      <w:r>
        <w:rPr>
          <w:i/>
          <w:iCs/>
        </w:rPr>
        <w:t>Journal of Advanced Veterinary and Animal Research</w:t>
      </w:r>
      <w:r>
        <w:t>;</w:t>
      </w:r>
      <w:r>
        <w:tab/>
        <w:t xml:space="preserve">5(2):173-181. </w:t>
      </w:r>
      <w:hyperlink r:id="rId19" w:history="1">
        <w:r>
          <w:rPr>
            <w:rStyle w:val="Hyperlink"/>
          </w:rPr>
          <w:t>http://doi.org/10.5455/javar.2018.e263</w:t>
        </w:r>
      </w:hyperlink>
    </w:p>
    <w:bookmarkEnd w:id="30"/>
    <w:p w14:paraId="6F4A7516" w14:textId="77777777" w:rsidR="002C5D72" w:rsidRDefault="00000000">
      <w:pPr>
        <w:spacing w:line="240" w:lineRule="auto"/>
        <w:ind w:right="-22"/>
        <w:jc w:val="both"/>
        <w:rPr>
          <w:rStyle w:val="Hyperlink"/>
          <w:shd w:val="clear" w:color="auto" w:fill="FCFCFC"/>
        </w:rPr>
      </w:pPr>
      <w:r>
        <w:t>Littmann, J., Viens, A. M., and Silva, D. S. (2020). The Super-Wicked Problem of</w:t>
      </w:r>
      <w:r>
        <w:tab/>
        <w:t>Antimicrobial</w:t>
      </w:r>
      <w:r>
        <w:tab/>
        <w:t>Resistance. In: Jamrozik, E., Selgelid, M. (Eds.) Ethics and Drug</w:t>
      </w:r>
      <w:r>
        <w:tab/>
        <w:t>Resistance: Collective</w:t>
      </w:r>
      <w:r>
        <w:tab/>
        <w:t xml:space="preserve">Responsibility for Global Public Health. </w:t>
      </w:r>
      <w:r>
        <w:rPr>
          <w:i/>
          <w:iCs/>
        </w:rPr>
        <w:t>Public Health Ethics Analysis</w:t>
      </w:r>
      <w:r>
        <w:t>, Vol. 5.</w:t>
      </w:r>
      <w:r>
        <w:tab/>
        <w:t>Springer, Cham.</w:t>
      </w:r>
      <w:r>
        <w:rPr>
          <w:shd w:val="clear" w:color="auto" w:fill="FCFCFC"/>
        </w:rPr>
        <w:t xml:space="preserve"> </w:t>
      </w:r>
      <w:hyperlink r:id="rId20" w:history="1">
        <w:r>
          <w:rPr>
            <w:rStyle w:val="Hyperlink"/>
            <w:shd w:val="clear" w:color="auto" w:fill="FCFCFC"/>
          </w:rPr>
          <w:t>https://doi.org/10.1007/978-3-030-27874-8_26</w:t>
        </w:r>
      </w:hyperlink>
    </w:p>
    <w:p w14:paraId="167AC601" w14:textId="77777777" w:rsidR="002C5D72" w:rsidRDefault="00000000">
      <w:pPr>
        <w:spacing w:after="100" w:afterAutospacing="1" w:line="240" w:lineRule="auto"/>
        <w:ind w:right="-22"/>
        <w:jc w:val="both"/>
      </w:pPr>
      <w:r>
        <w:t>Mohammed, A., Seid, M. E., Gebrecherkos, T., Tiruneh, M. and Moges, F. (2017).</w:t>
      </w:r>
      <w:r>
        <w:tab/>
        <w:t>Bacterial isolates and their Antimicrobial Susceptibility Patterns of Wound Infections</w:t>
      </w:r>
      <w:r>
        <w:tab/>
        <w:t>among in patients and outpatients attending the University of Gondar Referral</w:t>
      </w:r>
      <w:r>
        <w:tab/>
        <w:t>Hospital, Northwest</w:t>
      </w:r>
      <w:r>
        <w:tab/>
        <w:t xml:space="preserve">Ethiopia. </w:t>
      </w:r>
      <w:r>
        <w:rPr>
          <w:i/>
          <w:iCs/>
        </w:rPr>
        <w:t>International Journal of Microbiology</w:t>
      </w:r>
      <w:r>
        <w:t>.</w:t>
      </w:r>
      <w:r>
        <w:tab/>
      </w:r>
      <w:hyperlink r:id="rId21" w:history="1">
        <w:r>
          <w:rPr>
            <w:rStyle w:val="Hyperlink"/>
          </w:rPr>
          <w:t>https://doi.org/10.1155/2017/8953829</w:t>
        </w:r>
      </w:hyperlink>
    </w:p>
    <w:p w14:paraId="7F0AD553" w14:textId="77777777" w:rsidR="002C5D72" w:rsidRDefault="00000000">
      <w:pPr>
        <w:shd w:val="clear" w:color="auto" w:fill="FFFFFF"/>
        <w:spacing w:line="240" w:lineRule="auto"/>
        <w:ind w:right="-22"/>
        <w:jc w:val="both"/>
        <w:rPr>
          <w:rFonts w:eastAsia="Times New Roman"/>
          <w:szCs w:val="24"/>
          <w:lang w:eastAsia="en-GB"/>
        </w:rPr>
      </w:pPr>
      <w:r>
        <w:rPr>
          <w:rFonts w:eastAsia="Times New Roman"/>
          <w:szCs w:val="24"/>
          <w:lang w:eastAsia="en-GB"/>
        </w:rPr>
        <w:t xml:space="preserve">Musara, C., Aladejana, E.B., Mudyiwa., S.M., and Karavina, C. (2020). </w:t>
      </w:r>
      <w:r>
        <w:rPr>
          <w:rFonts w:eastAsia="Times New Roman"/>
          <w:i/>
          <w:iCs/>
          <w:szCs w:val="24"/>
          <w:lang w:eastAsia="en-GB"/>
        </w:rPr>
        <w:t>Parkia biglobosa</w:t>
      </w:r>
      <w:r>
        <w:rPr>
          <w:rFonts w:eastAsia="Times New Roman"/>
          <w:szCs w:val="24"/>
          <w:lang w:eastAsia="en-GB"/>
        </w:rPr>
        <w:tab/>
        <w:t>(Mimosaceae): Botany, Uses,</w:t>
      </w:r>
      <w:r>
        <w:rPr>
          <w:rFonts w:eastAsia="Times New Roman"/>
          <w:szCs w:val="24"/>
          <w:lang w:eastAsia="en-GB"/>
        </w:rPr>
        <w:tab/>
        <w:t>Phytochemical Properties and Pharmacological</w:t>
      </w:r>
      <w:r>
        <w:rPr>
          <w:rFonts w:eastAsia="Times New Roman"/>
          <w:szCs w:val="24"/>
          <w:lang w:eastAsia="en-GB"/>
        </w:rPr>
        <w:tab/>
        <w:t xml:space="preserve">potential. </w:t>
      </w:r>
      <w:r>
        <w:rPr>
          <w:rFonts w:eastAsia="Times New Roman"/>
          <w:i/>
          <w:iCs/>
          <w:szCs w:val="24"/>
          <w:lang w:eastAsia="en-GB"/>
        </w:rPr>
        <w:t>Journal of Pharmacy and</w:t>
      </w:r>
      <w:r>
        <w:rPr>
          <w:rFonts w:eastAsia="Times New Roman"/>
          <w:i/>
          <w:iCs/>
          <w:szCs w:val="24"/>
          <w:lang w:eastAsia="en-GB"/>
        </w:rPr>
        <w:tab/>
        <w:t>Nutrition Sciences</w:t>
      </w:r>
      <w:r>
        <w:rPr>
          <w:rFonts w:eastAsia="Times New Roman"/>
          <w:szCs w:val="24"/>
          <w:lang w:eastAsia="en-GB"/>
        </w:rPr>
        <w:t xml:space="preserve">, 10(3) </w:t>
      </w:r>
    </w:p>
    <w:p w14:paraId="5DA6BD7F" w14:textId="77777777" w:rsidR="002C5D72" w:rsidRDefault="00000000">
      <w:pPr>
        <w:shd w:val="clear" w:color="auto" w:fill="FFFFFF"/>
        <w:spacing w:line="240" w:lineRule="auto"/>
        <w:ind w:right="-22"/>
        <w:jc w:val="both"/>
        <w:rPr>
          <w:rStyle w:val="Hyperlink"/>
          <w:szCs w:val="24"/>
          <w:bdr w:val="none" w:sz="0" w:space="0" w:color="auto" w:frame="1"/>
          <w:shd w:val="clear" w:color="auto" w:fill="FFFFFF"/>
        </w:rPr>
      </w:pPr>
      <w:r>
        <w:rPr>
          <w:rFonts w:eastAsia="Times New Roman"/>
          <w:szCs w:val="24"/>
          <w:lang w:eastAsia="en-GB"/>
        </w:rPr>
        <w:t xml:space="preserve">             </w:t>
      </w:r>
      <w:r>
        <w:rPr>
          <w:color w:val="555555"/>
          <w:szCs w:val="24"/>
          <w:shd w:val="clear" w:color="auto" w:fill="FFFFFF"/>
        </w:rPr>
        <w:t>DOI:</w:t>
      </w:r>
      <w:hyperlink r:id="rId22" w:tgtFrame="_blank" w:history="1">
        <w:r>
          <w:rPr>
            <w:rStyle w:val="Hyperlink"/>
            <w:szCs w:val="24"/>
            <w:bdr w:val="none" w:sz="0" w:space="0" w:color="auto" w:frame="1"/>
            <w:shd w:val="clear" w:color="auto" w:fill="FFFFFF"/>
          </w:rPr>
          <w:t>10.29169/1927</w:t>
        </w:r>
        <w:r>
          <w:rPr>
            <w:rStyle w:val="Hyperlink"/>
            <w:szCs w:val="24"/>
            <w:bdr w:val="none" w:sz="0" w:space="0" w:color="auto" w:frame="1"/>
            <w:shd w:val="clear" w:color="auto" w:fill="FFFFFF"/>
          </w:rPr>
          <w:tab/>
          <w:t>5951.2020.10.03.4</w:t>
        </w:r>
      </w:hyperlink>
    </w:p>
    <w:p w14:paraId="60C0A426" w14:textId="77777777" w:rsidR="002C5D72" w:rsidRDefault="00000000">
      <w:pPr>
        <w:shd w:val="clear" w:color="auto" w:fill="FFFFFF"/>
        <w:spacing w:line="240" w:lineRule="auto"/>
        <w:ind w:right="-22"/>
        <w:jc w:val="both"/>
        <w:rPr>
          <w:rFonts w:ascii="Roboto" w:hAnsi="Roboto"/>
          <w:sz w:val="18"/>
          <w:szCs w:val="18"/>
        </w:rPr>
      </w:pPr>
      <w:r>
        <w:rPr>
          <w:shd w:val="clear" w:color="auto" w:fill="FFFFFF"/>
        </w:rPr>
        <w:t>Nyadanu, D., Amoah, R.A., Obeng, B., Kwarteng, A.O., Akromah, R., Aboagye, L.M., and</w:t>
      </w:r>
      <w:r>
        <w:rPr>
          <w:shd w:val="clear" w:color="auto" w:fill="FFFFFF"/>
        </w:rPr>
        <w:tab/>
        <w:t>Adu Dapaah, H.K. (2017). Ethnobotany and analysis of food components of African</w:t>
      </w:r>
      <w:r>
        <w:rPr>
          <w:shd w:val="clear" w:color="auto" w:fill="FFFFFF"/>
        </w:rPr>
        <w:tab/>
        <w:t>locust bean (</w:t>
      </w:r>
      <w:r>
        <w:rPr>
          <w:i/>
          <w:iCs/>
          <w:shd w:val="clear" w:color="auto" w:fill="FFFFFF"/>
        </w:rPr>
        <w:t>Parkia biglobosa</w:t>
      </w:r>
      <w:r>
        <w:rPr>
          <w:shd w:val="clear" w:color="auto" w:fill="FFFFFF"/>
        </w:rPr>
        <w:t xml:space="preserve"> (Jacq.) Benth.) in the transitional zone of Ghana:</w:t>
      </w:r>
      <w:r>
        <w:rPr>
          <w:shd w:val="clear" w:color="auto" w:fill="FFFFFF"/>
        </w:rPr>
        <w:tab/>
        <w:t>implications for domestication, conservation and breeding of improved varieties. </w:t>
      </w:r>
      <w:r>
        <w:rPr>
          <w:rStyle w:val="Emphasis"/>
        </w:rPr>
        <w:t>Genetic</w:t>
      </w:r>
      <w:r>
        <w:rPr>
          <w:rStyle w:val="Emphasis"/>
        </w:rPr>
        <w:tab/>
        <w:t>Resources and Crop Evolution, 64</w:t>
      </w:r>
      <w:r>
        <w:rPr>
          <w:shd w:val="clear" w:color="auto" w:fill="FFFFFF"/>
        </w:rPr>
        <w:t>, 1231-1240. Doi:10.1007/s10722-016-0432-x</w:t>
      </w:r>
      <w:r>
        <w:rPr>
          <w:rFonts w:ascii="Roboto" w:hAnsi="Roboto"/>
          <w:sz w:val="18"/>
          <w:szCs w:val="18"/>
        </w:rPr>
        <w:t xml:space="preserve"> </w:t>
      </w:r>
    </w:p>
    <w:p w14:paraId="59663F0A" w14:textId="77777777" w:rsidR="002C5D72" w:rsidRDefault="00000000">
      <w:pPr>
        <w:spacing w:after="0" w:line="240" w:lineRule="auto"/>
        <w:jc w:val="both"/>
        <w:rPr>
          <w:rStyle w:val="Hyperlink"/>
          <w:color w:val="000000"/>
        </w:rPr>
      </w:pPr>
      <w:bookmarkStart w:id="31" w:name="_Hlk147313331"/>
      <w:r>
        <w:t>Obajuluwa, A. F., Onaolapo, J. A., Oyi, A. R. and Olayinka, B. O. (2013). Susceptibility profile</w:t>
      </w:r>
      <w:r>
        <w:tab/>
        <w:t xml:space="preserve">of Methicillin-Resistant </w:t>
      </w:r>
      <w:r>
        <w:rPr>
          <w:i/>
          <w:iCs/>
        </w:rPr>
        <w:t>Staphylococcus aureus</w:t>
      </w:r>
      <w:r>
        <w:t xml:space="preserve"> isolates to Antibiotics and Methanolic</w:t>
      </w:r>
      <w:r>
        <w:tab/>
        <w:t xml:space="preserve">Extracts of </w:t>
      </w:r>
      <w:r>
        <w:rPr>
          <w:i/>
          <w:iCs/>
        </w:rPr>
        <w:t>Parkia biglobosa</w:t>
      </w:r>
      <w:r>
        <w:t xml:space="preserve"> (Jacq.) Benth. </w:t>
      </w:r>
      <w:r>
        <w:rPr>
          <w:i/>
          <w:iCs/>
        </w:rPr>
        <w:t>British Journal of Pharmaceutical Research</w:t>
      </w:r>
      <w:r>
        <w:t>,</w:t>
      </w:r>
      <w:r>
        <w:tab/>
        <w:t xml:space="preserve">3(4): 587-596. Accessed September 5, 2020 from </w:t>
      </w:r>
      <w:hyperlink r:id="rId23" w:history="1">
        <w:r>
          <w:rPr>
            <w:rStyle w:val="Hyperlink"/>
          </w:rPr>
          <w:t>www.researchgate.net/publication</w:t>
        </w:r>
      </w:hyperlink>
    </w:p>
    <w:p w14:paraId="428D386D" w14:textId="77777777" w:rsidR="002C5D72" w:rsidRDefault="002C5D72">
      <w:pPr>
        <w:spacing w:after="0" w:line="240" w:lineRule="auto"/>
        <w:jc w:val="both"/>
      </w:pPr>
    </w:p>
    <w:bookmarkEnd w:id="31"/>
    <w:p w14:paraId="3EBA869D" w14:textId="77777777" w:rsidR="002C5D72" w:rsidRDefault="00000000">
      <w:pPr>
        <w:spacing w:after="100" w:afterAutospacing="1" w:line="240" w:lineRule="auto"/>
        <w:ind w:right="-22"/>
        <w:jc w:val="both"/>
      </w:pPr>
      <w:r>
        <w:rPr>
          <w:color w:val="212121"/>
          <w:shd w:val="clear" w:color="auto" w:fill="FFFFFF"/>
        </w:rPr>
        <w:t>Olawuwo, O. S., Famuyide, I. M., &amp; McGaw, L. J. (2022). Antibacterial and Antibiofilm</w:t>
      </w:r>
      <w:r>
        <w:rPr>
          <w:color w:val="212121"/>
          <w:shd w:val="clear" w:color="auto" w:fill="FFFFFF"/>
        </w:rPr>
        <w:tab/>
        <w:t>Activity of Selected Medicinal Plant Leaf Extracts Against Pathogens Implicated in</w:t>
      </w:r>
      <w:r>
        <w:rPr>
          <w:color w:val="212121"/>
          <w:shd w:val="clear" w:color="auto" w:fill="FFFFFF"/>
        </w:rPr>
        <w:tab/>
        <w:t>Poultry Diseases. </w:t>
      </w:r>
      <w:r>
        <w:rPr>
          <w:i/>
          <w:iCs/>
          <w:color w:val="212121"/>
          <w:shd w:val="clear" w:color="auto" w:fill="FFFFFF"/>
        </w:rPr>
        <w:t>Frontiers in Veterinary Science</w:t>
      </w:r>
      <w:r>
        <w:rPr>
          <w:color w:val="212121"/>
          <w:shd w:val="clear" w:color="auto" w:fill="FFFFFF"/>
        </w:rPr>
        <w:t>, </w:t>
      </w:r>
      <w:r>
        <w:rPr>
          <w:i/>
          <w:iCs/>
          <w:color w:val="212121"/>
          <w:shd w:val="clear" w:color="auto" w:fill="FFFFFF"/>
        </w:rPr>
        <w:t>9</w:t>
      </w:r>
      <w:r>
        <w:rPr>
          <w:color w:val="212121"/>
          <w:shd w:val="clear" w:color="auto" w:fill="FFFFFF"/>
        </w:rPr>
        <w:t>, 820304.</w:t>
      </w:r>
      <w:r>
        <w:rPr>
          <w:color w:val="212121"/>
          <w:shd w:val="clear" w:color="auto" w:fill="FFFFFF"/>
        </w:rPr>
        <w:tab/>
        <w:t>https://doi.org/10.3389/fvets.2022.820304</w:t>
      </w:r>
    </w:p>
    <w:p w14:paraId="14CB06C9" w14:textId="77777777" w:rsidR="002C5D72" w:rsidRDefault="00000000">
      <w:pPr>
        <w:spacing w:after="100" w:afterAutospacing="1" w:line="240" w:lineRule="auto"/>
        <w:ind w:right="-22"/>
        <w:jc w:val="both"/>
      </w:pPr>
      <w:r>
        <w:t>Ologundudu, F.A., Adekunle, M., Ajayi, O. M., Obimakinde, E.T. and Jemilaiye, T. (2018).</w:t>
      </w:r>
      <w:r>
        <w:tab/>
        <w:t>Phytochemical screening of Parkia Biglobosa (Jacq.) Benth and its antimicrobial activity</w:t>
      </w:r>
      <w:r>
        <w:lastRenderedPageBreak/>
        <w:tab/>
        <w:t xml:space="preserve">against selected bacteria strains. </w:t>
      </w:r>
      <w:r>
        <w:rPr>
          <w:i/>
          <w:iCs/>
        </w:rPr>
        <w:t>Journal of Biological Series</w:t>
      </w:r>
      <w:r>
        <w:t xml:space="preserve"> 1(1): 018-023. DOI:</w:t>
      </w:r>
      <w:r>
        <w:tab/>
        <w:t>10.15413/jbs.2018.0100</w:t>
      </w:r>
    </w:p>
    <w:p w14:paraId="4BD00703" w14:textId="77777777" w:rsidR="002C5D72" w:rsidRDefault="00000000">
      <w:pPr>
        <w:spacing w:after="100" w:afterAutospacing="1"/>
        <w:ind w:right="-22"/>
        <w:jc w:val="both"/>
      </w:pPr>
      <w:r>
        <w:t>Osemwegie, O. O. and Dahunsi, S. O. (2015). In vitro effects of aqueous and ethanolic extract</w:t>
      </w:r>
      <w:r>
        <w:tab/>
        <w:t xml:space="preserve">of </w:t>
      </w:r>
      <w:r>
        <w:rPr>
          <w:i/>
          <w:iCs/>
        </w:rPr>
        <w:t>Parkia biglobosa</w:t>
      </w:r>
      <w:r>
        <w:t xml:space="preserve"> (Jacq.) Benth on selected microorganisms. </w:t>
      </w:r>
      <w:r>
        <w:rPr>
          <w:i/>
          <w:iCs/>
        </w:rPr>
        <w:t>Nigerian Journal of</w:t>
      </w:r>
      <w:r>
        <w:rPr>
          <w:i/>
          <w:iCs/>
        </w:rPr>
        <w:tab/>
        <w:t>Biotechnology</w:t>
      </w:r>
      <w:r>
        <w:t xml:space="preserve">, 29: 11-20. DOI: </w:t>
      </w:r>
      <w:hyperlink r:id="rId24" w:history="1">
        <w:r>
          <w:rPr>
            <w:rStyle w:val="Hyperlink"/>
            <w:color w:val="000000"/>
          </w:rPr>
          <w:t>https://dx.doi.org/10.4314/njb.v29il.2</w:t>
        </w:r>
      </w:hyperlink>
    </w:p>
    <w:p w14:paraId="06A9EE90" w14:textId="77777777" w:rsidR="002C5D72" w:rsidRDefault="00000000">
      <w:pPr>
        <w:spacing w:after="100" w:afterAutospacing="1" w:line="240" w:lineRule="auto"/>
        <w:ind w:right="-22"/>
        <w:jc w:val="both"/>
        <w:rPr>
          <w:rStyle w:val="Hyperlink"/>
          <w:shd w:val="clear" w:color="auto" w:fill="FFFFFF"/>
        </w:rPr>
      </w:pPr>
      <w:r>
        <w:rPr>
          <w:color w:val="212529"/>
          <w:shd w:val="clear" w:color="auto" w:fill="FFFFFF"/>
        </w:rPr>
        <w:t>Osuntokun, O.T., Jemilaiye, T. A., Akinrodoye, A. R. (2018). Comparative study between the</w:t>
      </w:r>
      <w:r>
        <w:rPr>
          <w:color w:val="212529"/>
          <w:shd w:val="clear" w:color="auto" w:fill="FFFFFF"/>
        </w:rPr>
        <w:tab/>
        <w:t xml:space="preserve">effect of </w:t>
      </w:r>
      <w:r>
        <w:rPr>
          <w:i/>
          <w:iCs/>
          <w:color w:val="212529"/>
          <w:shd w:val="clear" w:color="auto" w:fill="FFFFFF"/>
        </w:rPr>
        <w:t>Parkia Biglobosa</w:t>
      </w:r>
      <w:r>
        <w:rPr>
          <w:color w:val="212529"/>
          <w:shd w:val="clear" w:color="auto" w:fill="FFFFFF"/>
        </w:rPr>
        <w:t xml:space="preserve"> (JACQ) benth and conventional antibiotics against multiple</w:t>
      </w:r>
      <w:r>
        <w:rPr>
          <w:color w:val="212529"/>
          <w:shd w:val="clear" w:color="auto" w:fill="FFFFFF"/>
        </w:rPr>
        <w:tab/>
        <w:t xml:space="preserve">antibiotic resistant uropathogenic bacteria (MARUB). </w:t>
      </w:r>
      <w:r>
        <w:rPr>
          <w:i/>
          <w:iCs/>
          <w:color w:val="212529"/>
          <w:shd w:val="clear" w:color="auto" w:fill="FFFFFF"/>
        </w:rPr>
        <w:t>MOJ Bioequivalence and</w:t>
      </w:r>
      <w:r>
        <w:rPr>
          <w:i/>
          <w:iCs/>
          <w:color w:val="212529"/>
          <w:shd w:val="clear" w:color="auto" w:fill="FFFFFF"/>
        </w:rPr>
        <w:tab/>
        <w:t>Availability</w:t>
      </w:r>
      <w:r>
        <w:rPr>
          <w:color w:val="212529"/>
          <w:shd w:val="clear" w:color="auto" w:fill="FFFFFF"/>
        </w:rPr>
        <w:t>. 5(4):200-212. DOI: </w:t>
      </w:r>
      <w:hyperlink r:id="rId25" w:tgtFrame="_blank" w:history="1">
        <w:r>
          <w:rPr>
            <w:rStyle w:val="Hyperlink"/>
            <w:shd w:val="clear" w:color="auto" w:fill="FFFFFF"/>
          </w:rPr>
          <w:t>10.15406/mojbb.2018.05.00103</w:t>
        </w:r>
      </w:hyperlink>
    </w:p>
    <w:p w14:paraId="4031B014" w14:textId="77777777" w:rsidR="002C5D72" w:rsidRDefault="00000000">
      <w:pPr>
        <w:spacing w:after="100" w:afterAutospacing="1" w:line="240" w:lineRule="auto"/>
        <w:ind w:right="-22"/>
        <w:jc w:val="both"/>
      </w:pPr>
      <w:r>
        <w:t xml:space="preserve">Percival, S. L (2017). Importance of biofilm formation in surgical infection. </w:t>
      </w:r>
      <w:r>
        <w:rPr>
          <w:i/>
        </w:rPr>
        <w:t>British Journal of</w:t>
      </w:r>
      <w:r>
        <w:rPr>
          <w:i/>
        </w:rPr>
        <w:tab/>
        <w:t>Science.</w:t>
      </w:r>
      <w:r>
        <w:t xml:space="preserve"> 104: e85-e94. </w:t>
      </w:r>
    </w:p>
    <w:p w14:paraId="4D3CB7B9" w14:textId="77777777" w:rsidR="002C5D72" w:rsidRDefault="00000000">
      <w:pPr>
        <w:spacing w:after="100" w:afterAutospacing="1" w:line="240" w:lineRule="auto"/>
        <w:ind w:right="-22"/>
        <w:jc w:val="both"/>
        <w:rPr>
          <w:color w:val="212121"/>
          <w:shd w:val="clear" w:color="auto" w:fill="FFFFFF"/>
        </w:rPr>
      </w:pPr>
      <w:r>
        <w:rPr>
          <w:color w:val="212121"/>
          <w:shd w:val="clear" w:color="auto" w:fill="FFFFFF"/>
        </w:rPr>
        <w:t>Saleh, M. S. M., Jalil, J., Zainalabidin, S., Asmadi, A. Y., Mustafa, N. H., and Kamisah, Y.</w:t>
      </w:r>
      <w:r>
        <w:rPr>
          <w:color w:val="212121"/>
          <w:shd w:val="clear" w:color="auto" w:fill="FFFFFF"/>
        </w:rPr>
        <w:tab/>
        <w:t>(2021).</w:t>
      </w:r>
      <w:r>
        <w:rPr>
          <w:color w:val="212121"/>
          <w:shd w:val="clear" w:color="auto" w:fill="FFFFFF"/>
        </w:rPr>
        <w:tab/>
        <w:t>Genus </w:t>
      </w:r>
      <w:r>
        <w:rPr>
          <w:i/>
          <w:iCs/>
          <w:color w:val="212121"/>
          <w:shd w:val="clear" w:color="auto" w:fill="FFFFFF"/>
        </w:rPr>
        <w:t>Parkia</w:t>
      </w:r>
      <w:r>
        <w:rPr>
          <w:color w:val="212121"/>
          <w:shd w:val="clear" w:color="auto" w:fill="FFFFFF"/>
        </w:rPr>
        <w:t>: Phytochemical, Medicinal Uses, and Pharmacological</w:t>
      </w:r>
      <w:r>
        <w:rPr>
          <w:color w:val="212121"/>
          <w:shd w:val="clear" w:color="auto" w:fill="FFFFFF"/>
        </w:rPr>
        <w:tab/>
        <w:t>Properties. </w:t>
      </w:r>
      <w:r>
        <w:rPr>
          <w:i/>
          <w:iCs/>
          <w:color w:val="212121"/>
          <w:shd w:val="clear" w:color="auto" w:fill="FFFFFF"/>
        </w:rPr>
        <w:t>International journal of molecular sciences</w:t>
      </w:r>
      <w:r>
        <w:rPr>
          <w:color w:val="212121"/>
          <w:shd w:val="clear" w:color="auto" w:fill="FFFFFF"/>
        </w:rPr>
        <w:t>, </w:t>
      </w:r>
      <w:r>
        <w:rPr>
          <w:i/>
          <w:iCs/>
          <w:color w:val="212121"/>
          <w:shd w:val="clear" w:color="auto" w:fill="FFFFFF"/>
        </w:rPr>
        <w:t>22</w:t>
      </w:r>
      <w:r>
        <w:rPr>
          <w:color w:val="212121"/>
          <w:shd w:val="clear" w:color="auto" w:fill="FFFFFF"/>
        </w:rPr>
        <w:t>(2), 618.</w:t>
      </w:r>
      <w:r>
        <w:rPr>
          <w:color w:val="212121"/>
          <w:shd w:val="clear" w:color="auto" w:fill="FFFFFF"/>
        </w:rPr>
        <w:tab/>
      </w:r>
      <w:hyperlink r:id="rId26" w:history="1">
        <w:r>
          <w:rPr>
            <w:rStyle w:val="Hyperlink"/>
            <w:shd w:val="clear" w:color="auto" w:fill="FFFFFF"/>
          </w:rPr>
          <w:t>https://doi.org/10.3390/ijms22020618</w:t>
        </w:r>
      </w:hyperlink>
    </w:p>
    <w:p w14:paraId="2D61007C" w14:textId="77777777" w:rsidR="002C5D72" w:rsidRDefault="00000000">
      <w:pPr>
        <w:jc w:val="both"/>
        <w:rPr>
          <w:color w:val="212121"/>
          <w:shd w:val="clear" w:color="auto" w:fill="FFFFFF"/>
        </w:rPr>
      </w:pPr>
      <w:bookmarkStart w:id="32" w:name="_Hlk164264956"/>
      <w:r>
        <w:rPr>
          <w:color w:val="212121"/>
          <w:shd w:val="clear" w:color="auto" w:fill="FFFFFF"/>
        </w:rPr>
        <w:t>Sharma, D., Misba, L., &amp; Khan, A. U. (2019). Antibiotics versus biofilm: an emerging</w:t>
      </w:r>
      <w:r>
        <w:rPr>
          <w:color w:val="212121"/>
          <w:shd w:val="clear" w:color="auto" w:fill="FFFFFF"/>
        </w:rPr>
        <w:tab/>
        <w:t>battleground in microbial communities. </w:t>
      </w:r>
      <w:r>
        <w:rPr>
          <w:i/>
          <w:iCs/>
          <w:color w:val="212121"/>
          <w:shd w:val="clear" w:color="auto" w:fill="FFFFFF"/>
        </w:rPr>
        <w:t>Antimicrobial resistance and infection control</w:t>
      </w:r>
      <w:r>
        <w:rPr>
          <w:color w:val="212121"/>
          <w:shd w:val="clear" w:color="auto" w:fill="FFFFFF"/>
        </w:rPr>
        <w:t>, </w:t>
      </w:r>
      <w:r>
        <w:rPr>
          <w:i/>
          <w:iCs/>
          <w:color w:val="212121"/>
          <w:shd w:val="clear" w:color="auto" w:fill="FFFFFF"/>
        </w:rPr>
        <w:t>8</w:t>
      </w:r>
      <w:r>
        <w:rPr>
          <w:color w:val="212121"/>
          <w:shd w:val="clear" w:color="auto" w:fill="FFFFFF"/>
        </w:rPr>
        <w:t>,</w:t>
      </w:r>
      <w:r>
        <w:rPr>
          <w:color w:val="212121"/>
          <w:shd w:val="clear" w:color="auto" w:fill="FFFFFF"/>
        </w:rPr>
        <w:tab/>
        <w:t xml:space="preserve">76. </w:t>
      </w:r>
      <w:hyperlink r:id="rId27" w:history="1">
        <w:r>
          <w:rPr>
            <w:rStyle w:val="Hyperlink"/>
            <w:shd w:val="clear" w:color="auto" w:fill="FFFFFF"/>
          </w:rPr>
          <w:t>https://doi.org/10.1186/s13756-019-0533-3</w:t>
        </w:r>
      </w:hyperlink>
    </w:p>
    <w:bookmarkEnd w:id="32"/>
    <w:p w14:paraId="7D5C6B70" w14:textId="77777777" w:rsidR="002C5D72" w:rsidRDefault="00000000">
      <w:pPr>
        <w:spacing w:after="100" w:afterAutospacing="1"/>
        <w:ind w:right="-22"/>
        <w:jc w:val="both"/>
      </w:pPr>
      <w:r>
        <w:t>Udobi, C. E. and Onaolapo, J. A. (2009). Phytochemical analysis and Antibacterial Evaluation</w:t>
      </w:r>
      <w:r>
        <w:tab/>
        <w:t>of the leaf stem bark and root of the African locust bean (</w:t>
      </w:r>
      <w:r>
        <w:rPr>
          <w:i/>
          <w:iCs/>
        </w:rPr>
        <w:t>Parkia biglobosa</w:t>
      </w:r>
      <w:r>
        <w:t xml:space="preserve">). </w:t>
      </w:r>
      <w:r>
        <w:rPr>
          <w:i/>
          <w:iCs/>
        </w:rPr>
        <w:t>Journal</w:t>
      </w:r>
      <w:r>
        <w:rPr>
          <w:i/>
          <w:iCs/>
        </w:rPr>
        <w:tab/>
        <w:t>of Medicinal Plants Research</w:t>
      </w:r>
      <w:r>
        <w:t>, 3(5): 338-344</w:t>
      </w:r>
    </w:p>
    <w:p w14:paraId="5D929216" w14:textId="77777777" w:rsidR="002C5D72" w:rsidRDefault="00000000">
      <w:pPr>
        <w:spacing w:after="100" w:afterAutospacing="1"/>
        <w:ind w:right="-22"/>
        <w:jc w:val="both"/>
      </w:pPr>
      <w:r>
        <w:t>Udobi, C. E. and Onaolapo, J. A. (2010). Cell kill pattern and acute toxicity studies of the</w:t>
      </w:r>
      <w:r>
        <w:tab/>
        <w:t xml:space="preserve">aqueous fraction of the methanolic extract of parts of </w:t>
      </w:r>
      <w:r>
        <w:rPr>
          <w:i/>
          <w:iCs/>
        </w:rPr>
        <w:t>Parkia biglobosa</w:t>
      </w:r>
      <w:r>
        <w:t xml:space="preserve">. </w:t>
      </w:r>
      <w:r>
        <w:rPr>
          <w:i/>
          <w:iCs/>
        </w:rPr>
        <w:t>African</w:t>
      </w:r>
      <w:r>
        <w:rPr>
          <w:i/>
          <w:iCs/>
        </w:rPr>
        <w:tab/>
        <w:t>Journal of Biotechnology</w:t>
      </w:r>
      <w:r>
        <w:t xml:space="preserve">, 8(31), 4993-4998. </w:t>
      </w:r>
      <w:hyperlink r:id="rId28" w:history="1">
        <w:r>
          <w:rPr>
            <w:rStyle w:val="Hyperlink"/>
          </w:rPr>
          <w:t>http://www.academicjournals.org/AJB</w:t>
        </w:r>
      </w:hyperlink>
    </w:p>
    <w:p w14:paraId="5AFB2D22" w14:textId="77777777" w:rsidR="002C5D72" w:rsidRDefault="00000000">
      <w:pPr>
        <w:spacing w:after="100" w:afterAutospacing="1"/>
        <w:ind w:right="-22"/>
        <w:jc w:val="both"/>
      </w:pPr>
      <w:r>
        <w:t xml:space="preserve">Udobi, C. E. and Onaolapo, J. A. (2012). Bioactive Compounds of the Stem Bark of </w:t>
      </w:r>
      <w:r>
        <w:rPr>
          <w:i/>
          <w:iCs/>
        </w:rPr>
        <w:t>Parkia</w:t>
      </w:r>
      <w:r>
        <w:rPr>
          <w:i/>
          <w:iCs/>
        </w:rPr>
        <w:tab/>
        <w:t>biglobosa. Journal of Applied Pharmaceutical Science</w:t>
      </w:r>
      <w:r>
        <w:t xml:space="preserve"> 02 (07): 133-137. DOI:</w:t>
      </w:r>
      <w:r>
        <w:tab/>
        <w:t>10.7324/JAPS.2012.2718</w:t>
      </w:r>
    </w:p>
    <w:p w14:paraId="70FF54B4" w14:textId="77777777" w:rsidR="002C5D72" w:rsidRDefault="00000000">
      <w:pPr>
        <w:spacing w:after="100" w:afterAutospacing="1" w:line="240" w:lineRule="auto"/>
        <w:ind w:right="-22"/>
        <w:jc w:val="both"/>
      </w:pPr>
      <w:r>
        <w:t>Wu, M., Li, Y., Guo, D., Kui, G., Li, B., Deng, Y., and Li, F. (2018). Microbial diversity of</w:t>
      </w:r>
      <w:r>
        <w:tab/>
        <w:t>chronic</w:t>
      </w:r>
      <w:r>
        <w:tab/>
        <w:t xml:space="preserve"> wounds and successful management of traditional Chinese medicine. </w:t>
      </w:r>
      <w:r>
        <w:rPr>
          <w:i/>
        </w:rPr>
        <w:t>Evidence</w:t>
      </w:r>
      <w:r>
        <w:rPr>
          <w:i/>
        </w:rPr>
        <w:tab/>
        <w:t>Based</w:t>
      </w:r>
      <w:r>
        <w:rPr>
          <w:i/>
        </w:rPr>
        <w:tab/>
        <w:t>Complementary and Alternative Medicine</w:t>
      </w:r>
      <w:r>
        <w:t xml:space="preserve">. </w:t>
      </w:r>
      <w:hyperlink r:id="rId29" w:history="1">
        <w:r>
          <w:rPr>
            <w:rStyle w:val="Hyperlink"/>
          </w:rPr>
          <w:t>https://10.1155/2018/9463295</w:t>
        </w:r>
      </w:hyperlink>
    </w:p>
    <w:p w14:paraId="0E61780D" w14:textId="77777777" w:rsidR="002C5D72" w:rsidRDefault="002C5D72">
      <w:pPr>
        <w:spacing w:after="100" w:afterAutospacing="1" w:line="480" w:lineRule="auto"/>
        <w:jc w:val="both"/>
        <w:rPr>
          <w:bCs/>
        </w:rPr>
      </w:pPr>
    </w:p>
    <w:sectPr w:rsidR="002C5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General-Regular">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14CEA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81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72"/>
    <w:rsid w:val="002C5D72"/>
    <w:rsid w:val="003C287C"/>
    <w:rsid w:val="00B17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02B7"/>
  <w15:docId w15:val="{233CA638-7BB6-463D-9358-75CB7F8A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color w:val="000000"/>
        <w:sz w:val="24"/>
        <w:szCs w:val="23"/>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customStyle="1" w:styleId="Default">
    <w:name w:val="Default"/>
    <w:pPr>
      <w:autoSpaceDE w:val="0"/>
      <w:autoSpaceDN w:val="0"/>
      <w:adjustRightInd w:val="0"/>
      <w:spacing w:after="0" w:line="240" w:lineRule="auto"/>
    </w:pPr>
    <w:rPr>
      <w:rFonts w:ascii="Arial" w:hAnsi="Arial" w:cs="Arial"/>
      <w:szCs w:val="24"/>
    </w:rPr>
  </w:style>
  <w:style w:type="paragraph" w:customStyle="1" w:styleId="c-bibliographic-informationcitation">
    <w:name w:val="c-bibliographic-information__citation"/>
    <w:basedOn w:val="Normal"/>
    <w:pPr>
      <w:spacing w:before="100" w:beforeAutospacing="1" w:after="100" w:afterAutospacing="1" w:line="240" w:lineRule="auto"/>
    </w:pPr>
    <w:rPr>
      <w:rFonts w:eastAsia="Times New Roman"/>
      <w:color w:val="auto"/>
      <w:szCs w:val="24"/>
      <w:lang w:eastAsia="en-GB"/>
      <w14:ligatures w14:val="standardContextual"/>
    </w:rPr>
  </w:style>
  <w:style w:type="character" w:styleId="Emphasis">
    <w:name w:val="Emphasis"/>
    <w:uiPriority w:val="20"/>
    <w:qFormat/>
    <w:rPr>
      <w:i/>
      <w:i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155/2014/457309" TargetMode="External"/><Relationship Id="rId13" Type="http://schemas.openxmlformats.org/officeDocument/2006/relationships/hyperlink" Target="https://doi.org/10.3390/diagnostics12123207" TargetMode="External"/><Relationship Id="rId18" Type="http://schemas.openxmlformats.org/officeDocument/2006/relationships/hyperlink" Target="https://www.woundsresearch.com/article/point-prevalence-chronic%09tertiary-hospital%20Nigeria" TargetMode="External"/><Relationship Id="rId26" Type="http://schemas.openxmlformats.org/officeDocument/2006/relationships/hyperlink" Target="https://doi.org/10.3390/ijms22020618" TargetMode="External"/><Relationship Id="rId3" Type="http://schemas.openxmlformats.org/officeDocument/2006/relationships/settings" Target="settings.xml"/><Relationship Id="rId21" Type="http://schemas.openxmlformats.org/officeDocument/2006/relationships/hyperlink" Target="https://doi.org/10.1155/2017/8953829" TargetMode="External"/><Relationship Id="rId7" Type="http://schemas.openxmlformats.org/officeDocument/2006/relationships/hyperlink" Target="https://doi.org/10.46265/genresj.OBVW6791" TargetMode="External"/><Relationship Id="rId12" Type="http://schemas.openxmlformats.org/officeDocument/2006/relationships/hyperlink" Target="https://dx.doi.org/10.4314/jopat.v20i1.5" TargetMode="External"/><Relationship Id="rId17" Type="http://schemas.openxmlformats.org/officeDocument/2006/relationships/hyperlink" Target="http://www.ijps.ir" TargetMode="External"/><Relationship Id="rId25" Type="http://schemas.openxmlformats.org/officeDocument/2006/relationships/hyperlink" Target="https://doi.org/10.15406/mojbb.2018.05.00103" TargetMode="External"/><Relationship Id="rId2" Type="http://schemas.openxmlformats.org/officeDocument/2006/relationships/styles" Target="styles.xml"/><Relationship Id="rId16" Type="http://schemas.openxmlformats.org/officeDocument/2006/relationships/hyperlink" Target="https://doi.org/10.9734/ajob/2022/v16i3301" TargetMode="External"/><Relationship Id="rId20" Type="http://schemas.openxmlformats.org/officeDocument/2006/relationships/hyperlink" Target="https://doi.org/10.1007/978-3-030-27874-8_26" TargetMode="External"/><Relationship Id="rId29" Type="http://schemas.openxmlformats.org/officeDocument/2006/relationships/hyperlink" Target="https://10.1155/2018/9463295" TargetMode="External"/><Relationship Id="rId1" Type="http://schemas.openxmlformats.org/officeDocument/2006/relationships/numbering" Target="numbering.xml"/><Relationship Id="rId6" Type="http://schemas.openxmlformats.org/officeDocument/2006/relationships/hyperlink" Target="http://www.ijppr.com" TargetMode="External"/><Relationship Id="rId11" Type="http://schemas.openxmlformats.org/officeDocument/2006/relationships/hyperlink" Target="http://www.wjpr.net" TargetMode="External"/><Relationship Id="rId24" Type="http://schemas.openxmlformats.org/officeDocument/2006/relationships/hyperlink" Target="https://dx.doi.org/10.4314/njb.v29il.2" TargetMode="External"/><Relationship Id="rId5" Type="http://schemas.openxmlformats.org/officeDocument/2006/relationships/hyperlink" Target="https://doi.org/10.3390/molecules18078485" TargetMode="External"/><Relationship Id="rId15" Type="http://schemas.openxmlformats.org/officeDocument/2006/relationships/hyperlink" Target="https://doi.org/10.1038/s41579-019-0158-9" TargetMode="External"/><Relationship Id="rId23" Type="http://schemas.openxmlformats.org/officeDocument/2006/relationships/hyperlink" Target="http://www.researchgate.net/publication" TargetMode="External"/><Relationship Id="rId28" Type="http://schemas.openxmlformats.org/officeDocument/2006/relationships/hyperlink" Target="http://www.academicjournals.org/AJB" TargetMode="External"/><Relationship Id="rId10" Type="http://schemas.openxmlformats.org/officeDocument/2006/relationships/hyperlink" Target="https://doi.org/10.1128/CMR.00091-18" TargetMode="External"/><Relationship Id="rId19" Type="http://schemas.openxmlformats.org/officeDocument/2006/relationships/hyperlink" Target="http://doi.org/10.5455/javar.2018.e26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ntibiotics11121731" TargetMode="External"/><Relationship Id="rId14" Type="http://schemas.openxmlformats.org/officeDocument/2006/relationships/hyperlink" Target="http://dx.doi.org/10.3390/microorganisms10081500" TargetMode="External"/><Relationship Id="rId22" Type="http://schemas.openxmlformats.org/officeDocument/2006/relationships/hyperlink" Target="http://dx.doi.org/10.29169/1927-5951.2020.10.03.4" TargetMode="External"/><Relationship Id="rId27" Type="http://schemas.openxmlformats.org/officeDocument/2006/relationships/hyperlink" Target="https://doi.org/10.1186/s13756-019-0533-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5660</Words>
  <Characters>32264</Characters>
  <Application>Microsoft Office Word</Application>
  <DocSecurity>0</DocSecurity>
  <Lines>268</Lines>
  <Paragraphs>75</Paragraphs>
  <ScaleCrop>false</ScaleCrop>
  <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Ifeoluwa Akanni</dc:creator>
  <cp:lastModifiedBy>NIJOPHASR EDITOR</cp:lastModifiedBy>
  <cp:revision>2</cp:revision>
  <dcterms:created xsi:type="dcterms:W3CDTF">2024-07-25T17:24:00Z</dcterms:created>
  <dcterms:modified xsi:type="dcterms:W3CDTF">2024-07-25T17:24:00Z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3efd4a57037d4419ae6268f6492f888d</vt:lpwstr>
  </property>
</Properties>
</file>